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jc w:val="both"/>
        <w:rPr>
          <w:sz w:val="24"/>
          <w:szCs w:val="24"/>
          <w:highlight w:val="yellow"/>
        </w:rPr>
      </w:pPr>
      <w:r w:rsidDel="00000000" w:rsidR="00000000" w:rsidRPr="00000000">
        <w:rPr>
          <w:b w:val="1"/>
          <w:bCs w:val="1"/>
          <w:sz w:val="24"/>
          <w:szCs w:val="24"/>
          <w:highlight w:val="yellow"/>
          <w:rtl w:val="0"/>
        </w:rPr>
        <w:t xml:space="preserve">Suppl 4. </w:t>
      </w:r>
      <w:r w:rsidDel="00000000" w:rsidR="00000000" w:rsidRPr="00000000">
        <w:rPr>
          <w:sz w:val="24"/>
          <w:szCs w:val="24"/>
          <w:highlight w:val="yellow"/>
          <w:rtl w:val="0"/>
        </w:rPr>
        <w:t xml:space="preserve">Distribution of additional gene mutations in patients with t(16;21).</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2805"/>
        <w:gridCol w:w="3465"/>
        <w:gridCol w:w="2235"/>
        <w:tblGridChange w:id="0">
          <w:tblGrid>
            <w:gridCol w:w="855"/>
            <w:gridCol w:w="2805"/>
            <w:gridCol w:w="3465"/>
            <w:gridCol w:w="2235"/>
          </w:tblGrid>
        </w:tblGridChange>
      </w:tblGrid>
      <w:tr>
        <w:trPr>
          <w:cantSplit w:val="0"/>
          <w:trHeight w:val="405" w:hRule="atLeast"/>
          <w:tblHeader w:val="0"/>
        </w:trPr>
        <w:tc>
          <w:tcPr>
            <w:tcBorders>
              <w:top w:color="000000" w:space="0" w:sz="5" w:val="single"/>
              <w:left w:color="000000" w:space="0" w:sz="0" w:val="nil"/>
              <w:bottom w:color="000000" w:space="0" w:sz="5"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02">
            <w:pPr>
              <w:spacing w:line="480" w:lineRule="auto"/>
              <w:jc w:val="center"/>
              <w:rPr>
                <w:b w:val="1"/>
                <w:bCs w:val="1"/>
                <w:sz w:val="24"/>
                <w:szCs w:val="24"/>
                <w:highlight w:val="yellow"/>
              </w:rPr>
            </w:pPr>
            <w:r w:rsidDel="00000000" w:rsidR="00000000" w:rsidRPr="00000000">
              <w:rPr>
                <w:b w:val="1"/>
                <w:bCs w:val="1"/>
                <w:sz w:val="24"/>
                <w:szCs w:val="24"/>
                <w:highlight w:val="yellow"/>
                <w:rtl w:val="0"/>
              </w:rPr>
              <w:t xml:space="preserve">Case</w:t>
            </w:r>
          </w:p>
        </w:tc>
        <w:tc>
          <w:tcPr>
            <w:tcBorders>
              <w:top w:color="000000" w:space="0" w:sz="5" w:val="single"/>
              <w:left w:color="000000" w:space="0" w:sz="0" w:val="nil"/>
              <w:bottom w:color="000000" w:space="0" w:sz="5"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03">
            <w:pPr>
              <w:spacing w:line="480" w:lineRule="auto"/>
              <w:jc w:val="center"/>
              <w:rPr>
                <w:b w:val="1"/>
                <w:bCs w:val="1"/>
                <w:sz w:val="24"/>
                <w:szCs w:val="24"/>
                <w:highlight w:val="yellow"/>
              </w:rPr>
            </w:pPr>
            <w:r w:rsidDel="00000000" w:rsidR="00000000" w:rsidRPr="00000000">
              <w:rPr>
                <w:b w:val="1"/>
                <w:bCs w:val="1"/>
                <w:sz w:val="24"/>
                <w:szCs w:val="24"/>
                <w:highlight w:val="yellow"/>
                <w:rtl w:val="0"/>
              </w:rPr>
              <w:t xml:space="preserve">t(16;21) breakpoint</w:t>
            </w:r>
          </w:p>
        </w:tc>
        <w:tc>
          <w:tcPr>
            <w:tcBorders>
              <w:top w:color="000000" w:space="0" w:sz="5" w:val="single"/>
              <w:left w:color="000000" w:space="0" w:sz="0" w:val="nil"/>
              <w:bottom w:color="000000" w:space="0" w:sz="5"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04">
            <w:pPr>
              <w:spacing w:line="480" w:lineRule="auto"/>
              <w:jc w:val="center"/>
              <w:rPr>
                <w:b w:val="1"/>
                <w:bCs w:val="1"/>
                <w:sz w:val="24"/>
                <w:szCs w:val="24"/>
                <w:highlight w:val="yellow"/>
              </w:rPr>
            </w:pPr>
            <w:r w:rsidDel="00000000" w:rsidR="00000000" w:rsidRPr="00000000">
              <w:rPr>
                <w:b w:val="1"/>
                <w:bCs w:val="1"/>
                <w:sz w:val="24"/>
                <w:szCs w:val="24"/>
                <w:highlight w:val="yellow"/>
                <w:rtl w:val="0"/>
              </w:rPr>
              <w:t xml:space="preserve">Additional gene mutations</w:t>
            </w:r>
          </w:p>
        </w:tc>
        <w:tc>
          <w:tcPr>
            <w:tcBorders>
              <w:top w:color="000000" w:space="0" w:sz="5" w:val="single"/>
              <w:left w:color="000000" w:space="0" w:sz="0" w:val="nil"/>
              <w:bottom w:color="000000" w:space="0" w:sz="5"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05">
            <w:pPr>
              <w:spacing w:line="480" w:lineRule="auto"/>
              <w:jc w:val="center"/>
              <w:rPr>
                <w:b w:val="1"/>
                <w:bCs w:val="1"/>
                <w:sz w:val="24"/>
                <w:szCs w:val="24"/>
                <w:highlight w:val="yellow"/>
              </w:rPr>
            </w:pPr>
            <w:r w:rsidDel="00000000" w:rsidR="00000000" w:rsidRPr="00000000">
              <w:rPr>
                <w:b w:val="1"/>
                <w:bCs w:val="1"/>
                <w:sz w:val="24"/>
                <w:szCs w:val="24"/>
                <w:highlight w:val="yellow"/>
                <w:rtl w:val="0"/>
              </w:rPr>
              <w:t xml:space="preserve">N° of mutations</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6">
            <w:pPr>
              <w:spacing w:line="480" w:lineRule="auto"/>
              <w:jc w:val="center"/>
              <w:rPr>
                <w:sz w:val="24"/>
                <w:szCs w:val="24"/>
                <w:highlight w:val="yellow"/>
              </w:rPr>
            </w:pPr>
            <w:r w:rsidDel="00000000" w:rsidR="00000000" w:rsidRPr="00000000">
              <w:rPr>
                <w:sz w:val="24"/>
                <w:szCs w:val="24"/>
                <w:highlight w:val="yellow"/>
                <w:rtl w:val="0"/>
              </w:rPr>
              <w:t xml:space="preserve">1</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7">
            <w:pPr>
              <w:spacing w:line="480" w:lineRule="auto"/>
              <w:jc w:val="center"/>
              <w:rPr>
                <w:sz w:val="24"/>
                <w:szCs w:val="24"/>
                <w:highlight w:val="yellow"/>
              </w:rPr>
            </w:pPr>
            <w:r w:rsidDel="00000000" w:rsidR="00000000" w:rsidRPr="00000000">
              <w:rPr>
                <w:sz w:val="24"/>
                <w:szCs w:val="24"/>
                <w:highlight w:val="yellow"/>
                <w:rtl w:val="0"/>
              </w:rPr>
              <w:t xml:space="preserve">t(16;21)(q24;q22)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8">
            <w:pPr>
              <w:spacing w:line="480" w:lineRule="auto"/>
              <w:jc w:val="center"/>
              <w:rPr>
                <w:sz w:val="24"/>
                <w:szCs w:val="24"/>
                <w:highlight w:val="yellow"/>
              </w:rPr>
            </w:pPr>
            <w:r w:rsidDel="00000000" w:rsidR="00000000" w:rsidRPr="00000000">
              <w:rPr>
                <w:sz w:val="24"/>
                <w:szCs w:val="24"/>
                <w:highlight w:val="yellow"/>
                <w:rtl w:val="0"/>
              </w:rPr>
              <w:t xml:space="preserve">RUNX1</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9">
            <w:pPr>
              <w:spacing w:line="480" w:lineRule="auto"/>
              <w:jc w:val="center"/>
              <w:rPr>
                <w:sz w:val="24"/>
                <w:szCs w:val="24"/>
                <w:highlight w:val="yellow"/>
              </w:rPr>
            </w:pPr>
            <w:r w:rsidDel="00000000" w:rsidR="00000000" w:rsidRPr="00000000">
              <w:rPr>
                <w:sz w:val="24"/>
                <w:szCs w:val="24"/>
                <w:highlight w:val="yellow"/>
                <w:rtl w:val="0"/>
              </w:rPr>
              <w:t xml:space="preserve">1</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A">
            <w:pPr>
              <w:spacing w:line="480" w:lineRule="auto"/>
              <w:jc w:val="center"/>
              <w:rPr>
                <w:sz w:val="24"/>
                <w:szCs w:val="24"/>
                <w:highlight w:val="yellow"/>
              </w:rPr>
            </w:pPr>
            <w:r w:rsidDel="00000000" w:rsidR="00000000" w:rsidRPr="00000000">
              <w:rPr>
                <w:sz w:val="24"/>
                <w:szCs w:val="24"/>
                <w:highlight w:val="yellow"/>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B">
            <w:pPr>
              <w:spacing w:line="480" w:lineRule="auto"/>
              <w:jc w:val="center"/>
              <w:rPr>
                <w:sz w:val="24"/>
                <w:szCs w:val="24"/>
                <w:highlight w:val="yellow"/>
              </w:rPr>
            </w:pPr>
            <w:r w:rsidDel="00000000" w:rsidR="00000000" w:rsidRPr="00000000">
              <w:rPr>
                <w:sz w:val="24"/>
                <w:szCs w:val="24"/>
                <w:highlight w:val="yellow"/>
                <w:rtl w:val="0"/>
              </w:rPr>
              <w:t xml:space="preserve">t(16;21)(p11;q22)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C">
            <w:pPr>
              <w:spacing w:line="480" w:lineRule="auto"/>
              <w:jc w:val="center"/>
              <w:rPr>
                <w:sz w:val="24"/>
                <w:szCs w:val="24"/>
                <w:highlight w:val="yellow"/>
              </w:rPr>
            </w:pPr>
            <w:r w:rsidDel="00000000" w:rsidR="00000000" w:rsidRPr="00000000">
              <w:rPr>
                <w:sz w:val="24"/>
                <w:szCs w:val="24"/>
                <w:highlight w:val="yellow"/>
                <w:rtl w:val="0"/>
              </w:rPr>
              <w:t xml:space="preserve">DNMT3A, ASXL1</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D">
            <w:pPr>
              <w:spacing w:line="480" w:lineRule="auto"/>
              <w:jc w:val="center"/>
              <w:rPr>
                <w:sz w:val="24"/>
                <w:szCs w:val="24"/>
                <w:highlight w:val="yellow"/>
              </w:rPr>
            </w:pPr>
            <w:r w:rsidDel="00000000" w:rsidR="00000000" w:rsidRPr="00000000">
              <w:rPr>
                <w:sz w:val="24"/>
                <w:szCs w:val="24"/>
                <w:highlight w:val="yellow"/>
                <w:rtl w:val="0"/>
              </w:rPr>
              <w:t xml:space="preserve">2</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E">
            <w:pPr>
              <w:spacing w:line="480" w:lineRule="auto"/>
              <w:jc w:val="center"/>
              <w:rPr>
                <w:sz w:val="24"/>
                <w:szCs w:val="24"/>
                <w:highlight w:val="yellow"/>
              </w:rPr>
            </w:pPr>
            <w:r w:rsidDel="00000000" w:rsidR="00000000" w:rsidRPr="00000000">
              <w:rPr>
                <w:sz w:val="24"/>
                <w:szCs w:val="24"/>
                <w:highlight w:val="yellow"/>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0F">
            <w:pPr>
              <w:spacing w:line="480" w:lineRule="auto"/>
              <w:jc w:val="center"/>
              <w:rPr>
                <w:sz w:val="24"/>
                <w:szCs w:val="24"/>
                <w:highlight w:val="yellow"/>
              </w:rPr>
            </w:pPr>
            <w:r w:rsidDel="00000000" w:rsidR="00000000" w:rsidRPr="00000000">
              <w:rPr>
                <w:sz w:val="24"/>
                <w:szCs w:val="24"/>
                <w:highlight w:val="yellow"/>
                <w:rtl w:val="0"/>
              </w:rPr>
              <w:t xml:space="preserve">t(16;21)(p11;q22)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0">
            <w:pPr>
              <w:spacing w:line="480" w:lineRule="auto"/>
              <w:jc w:val="center"/>
              <w:rPr>
                <w:sz w:val="24"/>
                <w:szCs w:val="24"/>
                <w:highlight w:val="yellow"/>
              </w:rPr>
            </w:pPr>
            <w:r w:rsidDel="00000000" w:rsidR="00000000" w:rsidRPr="00000000">
              <w:rPr>
                <w:sz w:val="24"/>
                <w:szCs w:val="24"/>
                <w:highlight w:val="yellow"/>
                <w:rtl w:val="0"/>
              </w:rPr>
              <w:t xml:space="preserve">BCOR, RUNX1, ASXL1</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1">
            <w:pPr>
              <w:spacing w:line="480" w:lineRule="auto"/>
              <w:jc w:val="center"/>
              <w:rPr>
                <w:sz w:val="24"/>
                <w:szCs w:val="24"/>
                <w:highlight w:val="yellow"/>
              </w:rPr>
            </w:pPr>
            <w:r w:rsidDel="00000000" w:rsidR="00000000" w:rsidRPr="00000000">
              <w:rPr>
                <w:sz w:val="24"/>
                <w:szCs w:val="24"/>
                <w:highlight w:val="yellow"/>
                <w:rtl w:val="0"/>
              </w:rPr>
              <w:t xml:space="preserve">3</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2">
            <w:pPr>
              <w:spacing w:line="480" w:lineRule="auto"/>
              <w:jc w:val="center"/>
              <w:rPr>
                <w:sz w:val="24"/>
                <w:szCs w:val="24"/>
                <w:highlight w:val="yellow"/>
              </w:rPr>
            </w:pPr>
            <w:r w:rsidDel="00000000" w:rsidR="00000000" w:rsidRPr="00000000">
              <w:rPr>
                <w:sz w:val="24"/>
                <w:szCs w:val="24"/>
                <w:highlight w:val="yellow"/>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3">
            <w:pPr>
              <w:spacing w:line="480" w:lineRule="auto"/>
              <w:jc w:val="center"/>
              <w:rPr>
                <w:sz w:val="24"/>
                <w:szCs w:val="24"/>
                <w:highlight w:val="yellow"/>
              </w:rPr>
            </w:pPr>
            <w:r w:rsidDel="00000000" w:rsidR="00000000" w:rsidRPr="00000000">
              <w:rPr>
                <w:sz w:val="24"/>
                <w:szCs w:val="24"/>
                <w:highlight w:val="yellow"/>
                <w:rtl w:val="0"/>
              </w:rPr>
              <w:t xml:space="preserve">t(16;21)(p11;q22)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4">
            <w:pPr>
              <w:spacing w:line="480" w:lineRule="auto"/>
              <w:jc w:val="center"/>
              <w:rPr>
                <w:sz w:val="24"/>
                <w:szCs w:val="24"/>
                <w:highlight w:val="yellow"/>
              </w:rPr>
            </w:pPr>
            <w:r w:rsidDel="00000000" w:rsidR="00000000" w:rsidRPr="00000000">
              <w:rPr>
                <w:sz w:val="24"/>
                <w:szCs w:val="24"/>
                <w:highlight w:val="yellow"/>
                <w:rtl w:val="0"/>
              </w:rPr>
              <w:t xml:space="preserve">UBA2-WTIP</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5">
            <w:pPr>
              <w:spacing w:line="480" w:lineRule="auto"/>
              <w:jc w:val="center"/>
              <w:rPr>
                <w:sz w:val="24"/>
                <w:szCs w:val="24"/>
                <w:highlight w:val="yellow"/>
              </w:rPr>
            </w:pPr>
            <w:r w:rsidDel="00000000" w:rsidR="00000000" w:rsidRPr="00000000">
              <w:rPr>
                <w:sz w:val="24"/>
                <w:szCs w:val="24"/>
                <w:highlight w:val="yellow"/>
                <w:rtl w:val="0"/>
              </w:rPr>
              <w:t xml:space="preserve">1</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6">
            <w:pPr>
              <w:spacing w:line="480" w:lineRule="auto"/>
              <w:jc w:val="center"/>
              <w:rPr>
                <w:sz w:val="24"/>
                <w:szCs w:val="24"/>
                <w:highlight w:val="yellow"/>
              </w:rPr>
            </w:pPr>
            <w:r w:rsidDel="00000000" w:rsidR="00000000" w:rsidRPr="00000000">
              <w:rPr>
                <w:sz w:val="24"/>
                <w:szCs w:val="24"/>
                <w:highlight w:val="yellow"/>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7">
            <w:pPr>
              <w:spacing w:line="480" w:lineRule="auto"/>
              <w:jc w:val="center"/>
              <w:rPr>
                <w:sz w:val="24"/>
                <w:szCs w:val="24"/>
                <w:highlight w:val="yellow"/>
              </w:rPr>
            </w:pPr>
            <w:r w:rsidDel="00000000" w:rsidR="00000000" w:rsidRPr="00000000">
              <w:rPr>
                <w:sz w:val="24"/>
                <w:szCs w:val="24"/>
                <w:highlight w:val="yellow"/>
                <w:rtl w:val="0"/>
              </w:rPr>
              <w:t xml:space="preserve">t(16;21)(p11;q22)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8">
            <w:pPr>
              <w:spacing w:line="480" w:lineRule="auto"/>
              <w:jc w:val="center"/>
              <w:rPr>
                <w:sz w:val="24"/>
                <w:szCs w:val="24"/>
                <w:highlight w:val="yellow"/>
              </w:rPr>
            </w:pPr>
            <w:r w:rsidDel="00000000" w:rsidR="00000000" w:rsidRPr="00000000">
              <w:rPr>
                <w:sz w:val="24"/>
                <w:szCs w:val="24"/>
                <w:highlight w:val="yellow"/>
                <w:rtl w:val="0"/>
              </w:rPr>
              <w:t xml:space="preserve">BCOR</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9">
            <w:pPr>
              <w:spacing w:line="480" w:lineRule="auto"/>
              <w:jc w:val="center"/>
              <w:rPr>
                <w:sz w:val="24"/>
                <w:szCs w:val="24"/>
                <w:highlight w:val="yellow"/>
              </w:rPr>
            </w:pPr>
            <w:r w:rsidDel="00000000" w:rsidR="00000000" w:rsidRPr="00000000">
              <w:rPr>
                <w:sz w:val="24"/>
                <w:szCs w:val="24"/>
                <w:highlight w:val="yellow"/>
                <w:rtl w:val="0"/>
              </w:rPr>
              <w:t xml:space="preserve">1</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A">
            <w:pPr>
              <w:spacing w:line="480" w:lineRule="auto"/>
              <w:jc w:val="center"/>
              <w:rPr>
                <w:sz w:val="24"/>
                <w:szCs w:val="24"/>
                <w:highlight w:val="yellow"/>
              </w:rPr>
            </w:pPr>
            <w:r w:rsidDel="00000000" w:rsidR="00000000" w:rsidRPr="00000000">
              <w:rPr>
                <w:sz w:val="24"/>
                <w:szCs w:val="24"/>
                <w:highlight w:val="yellow"/>
                <w:rtl w:val="0"/>
              </w:rPr>
              <w:t xml:space="preserve">6</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B">
            <w:pPr>
              <w:spacing w:line="480" w:lineRule="auto"/>
              <w:jc w:val="center"/>
              <w:rPr>
                <w:sz w:val="24"/>
                <w:szCs w:val="24"/>
                <w:highlight w:val="yellow"/>
              </w:rPr>
            </w:pPr>
            <w:r w:rsidDel="00000000" w:rsidR="00000000" w:rsidRPr="00000000">
              <w:rPr>
                <w:sz w:val="24"/>
                <w:szCs w:val="24"/>
                <w:highlight w:val="yellow"/>
                <w:rtl w:val="0"/>
              </w:rPr>
              <w:t xml:space="preserve">t(16;21)(p11;q22)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C">
            <w:pPr>
              <w:spacing w:line="480" w:lineRule="auto"/>
              <w:jc w:val="center"/>
              <w:rPr>
                <w:sz w:val="24"/>
                <w:szCs w:val="24"/>
                <w:highlight w:val="yellow"/>
              </w:rPr>
            </w:pPr>
            <w:r w:rsidDel="00000000" w:rsidR="00000000" w:rsidRPr="00000000">
              <w:rPr>
                <w:sz w:val="24"/>
                <w:szCs w:val="24"/>
                <w:highlight w:val="yellow"/>
                <w:rtl w:val="0"/>
              </w:rPr>
              <w:t xml:space="preserve">KRAS</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D">
            <w:pPr>
              <w:spacing w:line="480" w:lineRule="auto"/>
              <w:jc w:val="center"/>
              <w:rPr>
                <w:sz w:val="24"/>
                <w:szCs w:val="24"/>
                <w:highlight w:val="yellow"/>
              </w:rPr>
            </w:pPr>
            <w:r w:rsidDel="00000000" w:rsidR="00000000" w:rsidRPr="00000000">
              <w:rPr>
                <w:sz w:val="24"/>
                <w:szCs w:val="24"/>
                <w:highlight w:val="yellow"/>
                <w:rtl w:val="0"/>
              </w:rPr>
              <w:t xml:space="preserve">1</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E">
            <w:pPr>
              <w:spacing w:line="480" w:lineRule="auto"/>
              <w:jc w:val="center"/>
              <w:rPr>
                <w:sz w:val="24"/>
                <w:szCs w:val="24"/>
                <w:highlight w:val="yellow"/>
              </w:rPr>
            </w:pPr>
            <w:r w:rsidDel="00000000" w:rsidR="00000000" w:rsidRPr="00000000">
              <w:rPr>
                <w:sz w:val="24"/>
                <w:szCs w:val="24"/>
                <w:highlight w:val="yellow"/>
                <w:rtl w:val="0"/>
              </w:rPr>
              <w:t xml:space="preserve">7</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1F">
            <w:pPr>
              <w:spacing w:line="480" w:lineRule="auto"/>
              <w:jc w:val="center"/>
              <w:rPr>
                <w:sz w:val="24"/>
                <w:szCs w:val="24"/>
                <w:highlight w:val="yellow"/>
              </w:rPr>
            </w:pPr>
            <w:r w:rsidDel="00000000" w:rsidR="00000000" w:rsidRPr="00000000">
              <w:rPr>
                <w:sz w:val="24"/>
                <w:szCs w:val="24"/>
                <w:highlight w:val="yellow"/>
                <w:rtl w:val="0"/>
              </w:rPr>
              <w:t xml:space="preserve">t(16;21)(p11;q22)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20">
            <w:pPr>
              <w:spacing w:line="480" w:lineRule="auto"/>
              <w:jc w:val="center"/>
              <w:rPr>
                <w:sz w:val="24"/>
                <w:szCs w:val="24"/>
                <w:highlight w:val="yellow"/>
              </w:rPr>
            </w:pPr>
            <w:r w:rsidDel="00000000" w:rsidR="00000000" w:rsidRPr="00000000">
              <w:rPr>
                <w:sz w:val="24"/>
                <w:szCs w:val="24"/>
                <w:highlight w:val="yellow"/>
                <w:rtl w:val="0"/>
              </w:rPr>
              <w:t xml:space="preserve">KRAS, GATA2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21">
            <w:pPr>
              <w:spacing w:line="480" w:lineRule="auto"/>
              <w:jc w:val="center"/>
              <w:rPr>
                <w:sz w:val="24"/>
                <w:szCs w:val="24"/>
                <w:highlight w:val="yellow"/>
              </w:rPr>
            </w:pPr>
            <w:r w:rsidDel="00000000" w:rsidR="00000000" w:rsidRPr="00000000">
              <w:rPr>
                <w:sz w:val="24"/>
                <w:szCs w:val="24"/>
                <w:highlight w:val="yellow"/>
                <w:rtl w:val="0"/>
              </w:rPr>
              <w:t xml:space="preserve">2</w:t>
            </w:r>
          </w:p>
        </w:tc>
      </w:tr>
      <w:tr>
        <w:trPr>
          <w:cantSplit w:val="0"/>
          <w:trHeight w:val="405" w:hRule="atLeast"/>
          <w:tblHeader w:val="0"/>
        </w:trPr>
        <w:tc>
          <w:tcPr>
            <w:tcBorders>
              <w:top w:color="000000" w:space="0" w:sz="0" w:val="nil"/>
              <w:left w:color="000000" w:space="0" w:sz="0" w:val="nil"/>
              <w:bottom w:color="000000" w:space="0" w:sz="5" w:val="single"/>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22">
            <w:pPr>
              <w:spacing w:line="480" w:lineRule="auto"/>
              <w:jc w:val="center"/>
              <w:rPr>
                <w:sz w:val="24"/>
                <w:szCs w:val="24"/>
                <w:highlight w:val="yellow"/>
              </w:rPr>
            </w:pPr>
            <w:r w:rsidDel="00000000" w:rsidR="00000000" w:rsidRPr="00000000">
              <w:rPr>
                <w:sz w:val="24"/>
                <w:szCs w:val="24"/>
                <w:highlight w:val="yellow"/>
                <w:rtl w:val="0"/>
              </w:rPr>
              <w:t xml:space="preserve">8</w:t>
            </w:r>
          </w:p>
        </w:tc>
        <w:tc>
          <w:tcPr>
            <w:tcBorders>
              <w:top w:color="000000" w:space="0" w:sz="0" w:val="nil"/>
              <w:left w:color="000000" w:space="0" w:sz="0" w:val="nil"/>
              <w:bottom w:color="000000" w:space="0" w:sz="5" w:val="single"/>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23">
            <w:pPr>
              <w:spacing w:line="480" w:lineRule="auto"/>
              <w:jc w:val="center"/>
              <w:rPr>
                <w:sz w:val="24"/>
                <w:szCs w:val="24"/>
                <w:highlight w:val="yellow"/>
              </w:rPr>
            </w:pPr>
            <w:r w:rsidDel="00000000" w:rsidR="00000000" w:rsidRPr="00000000">
              <w:rPr>
                <w:sz w:val="24"/>
                <w:szCs w:val="24"/>
                <w:highlight w:val="yellow"/>
                <w:rtl w:val="0"/>
              </w:rPr>
              <w:t xml:space="preserve">t(16;21)(p11;q22)</w:t>
            </w:r>
          </w:p>
        </w:tc>
        <w:tc>
          <w:tcPr>
            <w:tcBorders>
              <w:top w:color="000000" w:space="0" w:sz="0" w:val="nil"/>
              <w:left w:color="000000" w:space="0" w:sz="0" w:val="nil"/>
              <w:bottom w:color="000000" w:space="0" w:sz="5" w:val="single"/>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24">
            <w:pPr>
              <w:spacing w:line="480" w:lineRule="auto"/>
              <w:jc w:val="center"/>
              <w:rPr>
                <w:sz w:val="24"/>
                <w:szCs w:val="24"/>
                <w:highlight w:val="yellow"/>
              </w:rPr>
            </w:pPr>
            <w:r w:rsidDel="00000000" w:rsidR="00000000" w:rsidRPr="00000000">
              <w:rPr>
                <w:sz w:val="24"/>
                <w:szCs w:val="24"/>
                <w:highlight w:val="yellow"/>
                <w:rtl w:val="0"/>
              </w:rPr>
              <w:t xml:space="preserve">PHIP-NUP153</w:t>
            </w:r>
          </w:p>
        </w:tc>
        <w:tc>
          <w:tcPr>
            <w:tcBorders>
              <w:top w:color="000000" w:space="0" w:sz="0" w:val="nil"/>
              <w:left w:color="000000" w:space="0" w:sz="0" w:val="nil"/>
              <w:bottom w:color="000000" w:space="0" w:sz="5" w:val="single"/>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25">
            <w:pPr>
              <w:spacing w:line="480" w:lineRule="auto"/>
              <w:jc w:val="center"/>
              <w:rPr>
                <w:sz w:val="24"/>
                <w:szCs w:val="24"/>
                <w:highlight w:val="yellow"/>
              </w:rPr>
            </w:pPr>
            <w:r w:rsidDel="00000000" w:rsidR="00000000" w:rsidRPr="00000000">
              <w:rPr>
                <w:sz w:val="24"/>
                <w:szCs w:val="24"/>
                <w:highlight w:val="yellow"/>
                <w:rtl w:val="0"/>
              </w:rPr>
              <w:t xml:space="preserve">1</w:t>
            </w:r>
          </w:p>
        </w:tc>
      </w:tr>
      <w:tr>
        <w:trPr>
          <w:cantSplit w:val="0"/>
          <w:trHeight w:val="960" w:hRule="atLeast"/>
          <w:tblHeader w:val="0"/>
        </w:trPr>
        <w:tc>
          <w:tcPr>
            <w:gridSpan w:val="4"/>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top"/>
          </w:tcPr>
          <w:p w:rsidR="00000000" w:rsidDel="00000000" w:rsidP="00000000" w:rsidRDefault="00000000" w:rsidRPr="00000000" w14:paraId="00000026">
            <w:pPr>
              <w:spacing w:after="240" w:line="480" w:lineRule="auto"/>
              <w:jc w:val="both"/>
              <w:rPr>
                <w:sz w:val="24"/>
                <w:szCs w:val="24"/>
                <w:highlight w:val="yellow"/>
              </w:rPr>
            </w:pPr>
            <w:r w:rsidDel="00000000" w:rsidR="00000000" w:rsidRPr="00000000">
              <w:rPr>
                <w:sz w:val="24"/>
                <w:szCs w:val="24"/>
                <w:highlight w:val="yellow"/>
                <w:rtl w:val="0"/>
              </w:rPr>
              <w:t xml:space="preserve">Each row represents an individual patient. A total of twelve additional mutations across eight genes were identified. RUNX1 listed in this table refers to additional gene mutations and not to the gene involved in the defining chromosomal translocation</w:t>
            </w:r>
          </w:p>
        </w:tc>
      </w:tr>
    </w:tbl>
    <w:p w:rsidR="00000000" w:rsidDel="00000000" w:rsidP="00000000" w:rsidRDefault="00000000" w:rsidRPr="00000000" w14:paraId="0000002A">
      <w:pPr>
        <w:spacing w:line="48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