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A1346" w14:textId="18F5CAFD" w:rsidR="000D5360" w:rsidRPr="00361ECE" w:rsidRDefault="000D5360" w:rsidP="000D5360">
      <w:pPr>
        <w:adjustRightInd w:val="0"/>
        <w:snapToGrid w:val="0"/>
        <w:ind w:firstLineChars="200" w:firstLine="480"/>
        <w:jc w:val="left"/>
        <w:rPr>
          <w:rFonts w:ascii="Times New Roman" w:eastAsia="Microsoft YaHei" w:hAnsi="Times New Roman" w:cs="Times New Roman"/>
          <w:b/>
          <w:bCs/>
          <w:color w:val="000000" w:themeColor="text1"/>
          <w:sz w:val="24"/>
        </w:rPr>
      </w:pPr>
    </w:p>
    <w:p w14:paraId="637228FD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</w:p>
    <w:p w14:paraId="2D9B5378" w14:textId="77777777" w:rsidR="000D5360" w:rsidRPr="00361ECE" w:rsidRDefault="000D5360" w:rsidP="000D5360">
      <w:pPr>
        <w:adjustRightInd w:val="0"/>
        <w:snapToGrid w:val="0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  <w:r w:rsidRPr="00E8222C">
        <w:rPr>
          <w:rFonts w:ascii="Times New Roman" w:eastAsia="Microsoft YaHei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C82D012" wp14:editId="0175211A">
            <wp:extent cx="5267960" cy="6977380"/>
            <wp:effectExtent l="0" t="0" r="2540" b="7620"/>
            <wp:docPr id="12" name="图片 12" descr="Supplementary Fig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upplementary Figure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697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DE91A" w14:textId="77777777" w:rsidR="000D5360" w:rsidRPr="00E8222C" w:rsidRDefault="000D5360" w:rsidP="000D5360">
      <w:pPr>
        <w:adjustRightInd w:val="0"/>
        <w:snapToGrid w:val="0"/>
        <w:ind w:firstLineChars="200" w:firstLine="482"/>
        <w:jc w:val="left"/>
        <w:rPr>
          <w:rFonts w:ascii="Times New Roman" w:eastAsia="Microsoft YaHei" w:hAnsi="Times New Roman" w:cs="Times New Roman"/>
          <w:color w:val="000000" w:themeColor="text1"/>
          <w:sz w:val="24"/>
        </w:rPr>
      </w:pPr>
      <w:r w:rsidRPr="00E8222C"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>Suppl</w:t>
      </w:r>
      <w:r>
        <w:rPr>
          <w:rFonts w:ascii="Times New Roman" w:eastAsia="SimSun" w:hAnsi="Times New Roman" w:cs="Times New Roman"/>
          <w:b/>
          <w:bCs/>
          <w:color w:val="000000" w:themeColor="text1"/>
          <w:sz w:val="24"/>
        </w:rPr>
        <w:t xml:space="preserve"> 4.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 Single-cell RNA-seq data processing and cell composition analysis of normal vs. tumor samples. (A) Gene variance plots (average expression vs. standardized variance) identifying variable genes (2</w:t>
      </w:r>
      <w:r>
        <w:rPr>
          <w:rFonts w:ascii="Times New Roman" w:eastAsia="Microsoft YaHei" w:hAnsi="Times New Roman" w:cs="Times New Roman"/>
          <w:color w:val="000000" w:themeColor="text1"/>
          <w:sz w:val="24"/>
        </w:rPr>
        <w:t>,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>000 total, red points) and non-variable genes (20</w:t>
      </w:r>
      <w:r>
        <w:rPr>
          <w:rFonts w:ascii="Times New Roman" w:eastAsia="Microsoft YaHei" w:hAnsi="Times New Roman" w:cs="Times New Roman"/>
          <w:color w:val="000000" w:themeColor="text1"/>
          <w:sz w:val="24"/>
        </w:rPr>
        <w:t>,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358 total, black points); key marker genes (e.g., SCGB1A1, IGKC) are labeled in the right panel. </w:t>
      </w:r>
      <w:r w:rsidRPr="00916E63">
        <w:rPr>
          <w:rFonts w:ascii="Times New Roman" w:eastAsia="Microsoft YaHei" w:hAnsi="Times New Roman" w:cs="Times New Roman"/>
          <w:color w:val="000000" w:themeColor="text1"/>
          <w:sz w:val="24"/>
        </w:rPr>
        <w:t>(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B) Elbow plot showing the standard deviation of principal components (PCs), used to determine the number of 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lastRenderedPageBreak/>
        <w:t xml:space="preserve">PCs for downstream analysis. </w:t>
      </w:r>
      <w:r w:rsidRPr="00916E63">
        <w:rPr>
          <w:rFonts w:ascii="Times New Roman" w:eastAsia="Microsoft YaHei" w:hAnsi="Times New Roman" w:cs="Times New Roman"/>
          <w:color w:val="000000" w:themeColor="text1"/>
          <w:sz w:val="24"/>
        </w:rPr>
        <w:t>(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C) </w:t>
      </w:r>
      <w:r>
        <w:rPr>
          <w:rFonts w:ascii="Times New Roman" w:eastAsia="Microsoft YaHei" w:hAnsi="Times New Roman" w:cs="Times New Roman"/>
          <w:color w:val="000000" w:themeColor="text1"/>
          <w:sz w:val="24"/>
        </w:rPr>
        <w:t>P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rincipal component analysis (PCA). </w:t>
      </w:r>
      <w:r w:rsidRPr="00916E63">
        <w:rPr>
          <w:rFonts w:ascii="Times New Roman" w:eastAsia="Microsoft YaHei" w:hAnsi="Times New Roman" w:cs="Times New Roman"/>
          <w:color w:val="000000" w:themeColor="text1"/>
          <w:sz w:val="24"/>
        </w:rPr>
        <w:t>(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D) Harmony-aligned embedding. </w:t>
      </w:r>
      <w:r>
        <w:rPr>
          <w:rFonts w:ascii="Times New Roman" w:eastAsia="Microsoft YaHei" w:hAnsi="Times New Roman" w:cs="Times New Roman"/>
          <w:color w:val="000000" w:themeColor="text1"/>
          <w:sz w:val="24"/>
        </w:rPr>
        <w:t>(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>E</w:t>
      </w:r>
      <w:r>
        <w:rPr>
          <w:rFonts w:ascii="Times New Roman" w:eastAsia="Microsoft YaHei" w:hAnsi="Times New Roman" w:cs="Times New Roman"/>
          <w:color w:val="000000" w:themeColor="text1"/>
          <w:sz w:val="24"/>
        </w:rPr>
        <w:t>)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 Stacked bar plot comparing the relative percentage of cell types (T cells, </w:t>
      </w:r>
      <w:r>
        <w:rPr>
          <w:rFonts w:ascii="Times New Roman" w:eastAsia="Microsoft YaHei" w:hAnsi="Times New Roman" w:cs="Times New Roman"/>
          <w:color w:val="000000" w:themeColor="text1"/>
          <w:sz w:val="24"/>
        </w:rPr>
        <w:t>e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pithelial cells, etc.) between </w:t>
      </w:r>
      <w:r w:rsidRPr="00916E63">
        <w:rPr>
          <w:rFonts w:ascii="Times New Roman" w:eastAsia="Microsoft YaHei" w:hAnsi="Times New Roman" w:cs="Times New Roman"/>
          <w:color w:val="000000" w:themeColor="text1"/>
          <w:sz w:val="24"/>
        </w:rPr>
        <w:t xml:space="preserve">normal and tumor </w:t>
      </w:r>
      <w:r w:rsidRPr="00E8222C">
        <w:rPr>
          <w:rFonts w:ascii="Times New Roman" w:eastAsia="Microsoft YaHei" w:hAnsi="Times New Roman" w:cs="Times New Roman"/>
          <w:color w:val="000000" w:themeColor="text1"/>
          <w:sz w:val="24"/>
        </w:rPr>
        <w:t>samples.</w:t>
      </w:r>
    </w:p>
    <w:sectPr w:rsidR="000D5360" w:rsidRPr="00E822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FFEA2" w14:textId="77777777" w:rsidR="0058388F" w:rsidRDefault="0058388F" w:rsidP="00BE7090">
      <w:r>
        <w:separator/>
      </w:r>
    </w:p>
  </w:endnote>
  <w:endnote w:type="continuationSeparator" w:id="0">
    <w:p w14:paraId="6C0ACF9D" w14:textId="77777777" w:rsidR="0058388F" w:rsidRDefault="0058388F" w:rsidP="00BE7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¡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7CD99" w14:textId="77777777" w:rsidR="0058388F" w:rsidRDefault="0058388F" w:rsidP="00BE7090">
      <w:r>
        <w:separator/>
      </w:r>
    </w:p>
  </w:footnote>
  <w:footnote w:type="continuationSeparator" w:id="0">
    <w:p w14:paraId="06EA5491" w14:textId="77777777" w:rsidR="0058388F" w:rsidRDefault="0058388F" w:rsidP="00BE7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60"/>
    <w:rsid w:val="000D5360"/>
    <w:rsid w:val="00231555"/>
    <w:rsid w:val="00425C20"/>
    <w:rsid w:val="004F5CA0"/>
    <w:rsid w:val="0058388F"/>
    <w:rsid w:val="00632A74"/>
    <w:rsid w:val="00B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A908C4"/>
  <w15:chartTrackingRefBased/>
  <w15:docId w15:val="{9B718169-DDB9-41F7-BA9E-765F768D4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360"/>
    <w:pPr>
      <w:widowControl w:val="0"/>
      <w:spacing w:after="0" w:line="240" w:lineRule="auto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5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5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536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5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536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536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36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36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36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536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36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36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36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36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53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5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536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5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36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36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36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36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360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70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090"/>
    <w:rPr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BE70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0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598</Characters>
  <Application>Microsoft Office Word</Application>
  <DocSecurity>0</DocSecurity>
  <Lines>4</Lines>
  <Paragraphs>1</Paragraphs>
  <ScaleCrop>false</ScaleCrop>
  <Company>Grizli777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2025-12-20T03:12:00Z</dcterms:created>
  <dcterms:modified xsi:type="dcterms:W3CDTF">2026-01-01T06:30:00Z</dcterms:modified>
</cp:coreProperties>
</file>