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9E" w:rsidRDefault="0040079E" w:rsidP="0040079E">
      <w:pPr>
        <w:adjustRightInd w:val="0"/>
        <w:snapToGrid w:val="0"/>
        <w:rPr>
          <w:rFonts w:ascii="Times New Roman" w:hAnsi="Times New Roman"/>
          <w:sz w:val="24"/>
          <w:szCs w:val="24"/>
          <w:lang w:val="en-GB"/>
        </w:rPr>
      </w:pPr>
    </w:p>
    <w:p w:rsidR="0040079E" w:rsidRDefault="0040079E" w:rsidP="0040079E">
      <w:pPr>
        <w:adjustRightInd w:val="0"/>
        <w:snapToGrid w:val="0"/>
        <w:rPr>
          <w:rFonts w:ascii="Times New Roman" w:hAnsi="Times New Roman"/>
          <w:sz w:val="24"/>
          <w:szCs w:val="24"/>
          <w:lang w:val="en-GB"/>
        </w:rPr>
      </w:pPr>
    </w:p>
    <w:p w:rsidR="0040079E" w:rsidRPr="00EF0BD2" w:rsidRDefault="0040079E" w:rsidP="0040079E">
      <w:pPr>
        <w:adjustRightInd w:val="0"/>
        <w:snapToGrid w:val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F0BD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Suppl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3</w:t>
      </w:r>
      <w:r w:rsidRPr="00EF0BD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>Morphological analysis of HL60 cells treated with ATRA over three time points.</w:t>
      </w:r>
    </w:p>
    <w:p w:rsidR="0040079E" w:rsidRPr="00EF0BD2" w:rsidRDefault="0040079E" w:rsidP="0040079E">
      <w:pPr>
        <w:adjustRightInd w:val="0"/>
        <w:snapToGrid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EF0BD2">
        <w:rPr>
          <w:rFonts w:ascii="Times New Roman" w:hAnsi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5617177" cy="4156130"/>
            <wp:effectExtent l="0" t="0" r="3175" b="0"/>
            <wp:docPr id="2009239412" name="Picture 1" descr="A screenshot of a c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39412" name="Picture 1" descr="A screenshot of a cell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32" cy="41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079E" w:rsidRPr="00EF0BD2" w:rsidRDefault="0040079E" w:rsidP="0040079E">
      <w:pPr>
        <w:adjustRightInd w:val="0"/>
        <w:snapToGrid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EF0BD2">
        <w:rPr>
          <w:rFonts w:ascii="Times New Roman" w:hAnsi="Times New Roman"/>
          <w:sz w:val="24"/>
          <w:szCs w:val="24"/>
          <w:shd w:val="clear" w:color="auto" w:fill="FFFFFF"/>
        </w:rPr>
        <w:t xml:space="preserve">Giemsa-stained cytospin preparations of HL60 cells were examined on days 5, 6, and 7 to assess morphological changes. Compared </w:t>
      </w:r>
      <w:r w:rsidRPr="00EF0BD2">
        <w:rPr>
          <w:rFonts w:ascii="Times New Roman" w:hAnsi="Times New Roman"/>
          <w:sz w:val="24"/>
          <w:szCs w:val="24"/>
        </w:rPr>
        <w:t>with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 xml:space="preserve"> untreated control cells, ATRA-treated HL60 cells </w:t>
      </w:r>
      <w:r w:rsidRPr="00EF0BD2">
        <w:rPr>
          <w:rFonts w:ascii="Times New Roman" w:hAnsi="Times New Roman"/>
          <w:sz w:val="24"/>
          <w:szCs w:val="24"/>
        </w:rPr>
        <w:t>gradually transitioned from a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 xml:space="preserve"> promyelocyte morphology to mature neutrophil forms. Representative images highlight the progression of differentiation across time points. Scale bar = 10 µm.</w:t>
      </w:r>
    </w:p>
    <w:p w:rsidR="00BA49B8" w:rsidRDefault="00BA49B8"/>
    <w:sectPr w:rsidR="00BA49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40079E"/>
    <w:rsid w:val="0040079E"/>
    <w:rsid w:val="00BA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2025-10-05T11:48:00Z</dcterms:created>
  <dcterms:modified xsi:type="dcterms:W3CDTF">2025-10-05T11:48:00Z</dcterms:modified>
</cp:coreProperties>
</file>