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41B6" w:rsidRDefault="003E41B6" w:rsidP="003E41B6">
      <w:pPr>
        <w:widowControl w:val="0"/>
        <w:rPr>
          <w:b/>
          <w:bCs/>
        </w:rPr>
      </w:pPr>
      <w:r w:rsidRPr="002F010C">
        <w:rPr>
          <w:b/>
          <w:bCs/>
        </w:rPr>
        <w:t>Suppl</w:t>
      </w:r>
      <w:r>
        <w:rPr>
          <w:b/>
          <w:bCs/>
        </w:rPr>
        <w:t xml:space="preserve"> </w:t>
      </w:r>
      <w:r w:rsidRPr="002F010C">
        <w:rPr>
          <w:b/>
          <w:bCs/>
        </w:rPr>
        <w:t>3</w:t>
      </w:r>
      <w:r>
        <w:rPr>
          <w:b/>
          <w:bCs/>
        </w:rPr>
        <w:t>.</w:t>
      </w:r>
      <w:r w:rsidRPr="002F010C">
        <w:rPr>
          <w:b/>
          <w:bCs/>
        </w:rPr>
        <w:t xml:space="preserve"> Risk of Bias Assessment for Included Studies</w:t>
      </w:r>
    </w:p>
    <w:p w:rsidR="003E41B6" w:rsidRDefault="003E41B6" w:rsidP="003E41B6">
      <w:pPr>
        <w:widowControl w:val="0"/>
      </w:pPr>
    </w:p>
    <w:p w:rsidR="003E41B6" w:rsidRPr="002F010C" w:rsidRDefault="003E41B6" w:rsidP="003E41B6">
      <w:pPr>
        <w:widowControl w:val="0"/>
        <w:rPr>
          <w:b/>
          <w:bCs/>
        </w:rPr>
      </w:pPr>
      <w:r w:rsidRPr="002F010C">
        <w:rPr>
          <w:b/>
          <w:bCs/>
        </w:rPr>
        <w:t>ROBINS-I for non-randomized studies of interventions</w:t>
      </w:r>
    </w:p>
    <w:p w:rsidR="003E41B6" w:rsidRDefault="003E41B6" w:rsidP="003E41B6">
      <w:pPr>
        <w:widowControl w:val="0"/>
      </w:pPr>
    </w:p>
    <w:tbl>
      <w:tblPr>
        <w:tblStyle w:val="TableGrid"/>
        <w:tblW w:w="9972" w:type="dxa"/>
        <w:tblLayout w:type="fixed"/>
        <w:tblLook w:val="04A0"/>
      </w:tblPr>
      <w:tblGrid>
        <w:gridCol w:w="875"/>
        <w:gridCol w:w="1257"/>
        <w:gridCol w:w="1175"/>
        <w:gridCol w:w="1288"/>
        <w:gridCol w:w="1354"/>
        <w:gridCol w:w="850"/>
        <w:gridCol w:w="1196"/>
        <w:gridCol w:w="927"/>
        <w:gridCol w:w="1050"/>
      </w:tblGrid>
      <w:tr w:rsidR="003E41B6" w:rsidRPr="002F010C" w:rsidTr="00D0545F">
        <w:trPr>
          <w:trHeight w:val="570"/>
        </w:trPr>
        <w:tc>
          <w:tcPr>
            <w:tcW w:w="875" w:type="dxa"/>
            <w:hideMark/>
          </w:tcPr>
          <w:p w:rsidR="003E41B6" w:rsidRPr="002F010C" w:rsidRDefault="003E41B6" w:rsidP="00D0545F">
            <w:pPr>
              <w:widowControl w:val="0"/>
              <w:rPr>
                <w:b/>
                <w:bCs/>
                <w:sz w:val="20"/>
                <w:szCs w:val="20"/>
              </w:rPr>
            </w:pPr>
            <w:r w:rsidRPr="002F010C">
              <w:rPr>
                <w:b/>
                <w:bCs/>
                <w:sz w:val="20"/>
                <w:szCs w:val="20"/>
              </w:rPr>
              <w:t>Study</w:t>
            </w:r>
          </w:p>
        </w:tc>
        <w:tc>
          <w:tcPr>
            <w:tcW w:w="1257" w:type="dxa"/>
            <w:hideMark/>
          </w:tcPr>
          <w:p w:rsidR="003E41B6" w:rsidRPr="002F010C" w:rsidRDefault="003E41B6" w:rsidP="00D0545F">
            <w:pPr>
              <w:widowControl w:val="0"/>
              <w:rPr>
                <w:b/>
                <w:bCs/>
                <w:sz w:val="20"/>
                <w:szCs w:val="20"/>
              </w:rPr>
            </w:pPr>
            <w:r w:rsidRPr="002F010C">
              <w:rPr>
                <w:b/>
                <w:bCs/>
                <w:sz w:val="20"/>
                <w:szCs w:val="20"/>
              </w:rPr>
              <w:t>Confounding</w:t>
            </w:r>
          </w:p>
        </w:tc>
        <w:tc>
          <w:tcPr>
            <w:tcW w:w="1175" w:type="dxa"/>
            <w:hideMark/>
          </w:tcPr>
          <w:p w:rsidR="003E41B6" w:rsidRPr="002F010C" w:rsidRDefault="003E41B6" w:rsidP="00D0545F">
            <w:pPr>
              <w:widowControl w:val="0"/>
              <w:rPr>
                <w:b/>
                <w:bCs/>
                <w:sz w:val="20"/>
                <w:szCs w:val="20"/>
              </w:rPr>
            </w:pPr>
            <w:r w:rsidRPr="002F010C">
              <w:rPr>
                <w:b/>
                <w:bCs/>
                <w:sz w:val="20"/>
                <w:szCs w:val="20"/>
              </w:rPr>
              <w:t>Selection of participants</w:t>
            </w:r>
          </w:p>
        </w:tc>
        <w:tc>
          <w:tcPr>
            <w:tcW w:w="1288" w:type="dxa"/>
            <w:hideMark/>
          </w:tcPr>
          <w:p w:rsidR="003E41B6" w:rsidRPr="002F010C" w:rsidRDefault="003E41B6" w:rsidP="00D0545F">
            <w:pPr>
              <w:widowControl w:val="0"/>
              <w:rPr>
                <w:b/>
                <w:bCs/>
                <w:sz w:val="20"/>
                <w:szCs w:val="20"/>
              </w:rPr>
            </w:pPr>
            <w:r w:rsidRPr="002F010C">
              <w:rPr>
                <w:b/>
                <w:bCs/>
                <w:sz w:val="20"/>
                <w:szCs w:val="20"/>
              </w:rPr>
              <w:t>Classification of interventions</w:t>
            </w:r>
          </w:p>
        </w:tc>
        <w:tc>
          <w:tcPr>
            <w:tcW w:w="1354" w:type="dxa"/>
            <w:hideMark/>
          </w:tcPr>
          <w:p w:rsidR="003E41B6" w:rsidRPr="002F010C" w:rsidRDefault="003E41B6" w:rsidP="00D0545F">
            <w:pPr>
              <w:widowControl w:val="0"/>
              <w:rPr>
                <w:b/>
                <w:bCs/>
                <w:sz w:val="20"/>
                <w:szCs w:val="20"/>
              </w:rPr>
            </w:pPr>
            <w:r w:rsidRPr="002F010C">
              <w:rPr>
                <w:b/>
                <w:bCs/>
                <w:sz w:val="20"/>
                <w:szCs w:val="20"/>
              </w:rPr>
              <w:t>Deviations from intended interventions</w:t>
            </w:r>
          </w:p>
        </w:tc>
        <w:tc>
          <w:tcPr>
            <w:tcW w:w="850" w:type="dxa"/>
            <w:hideMark/>
          </w:tcPr>
          <w:p w:rsidR="003E41B6" w:rsidRPr="002F010C" w:rsidRDefault="003E41B6" w:rsidP="00D0545F">
            <w:pPr>
              <w:widowControl w:val="0"/>
              <w:rPr>
                <w:b/>
                <w:bCs/>
                <w:sz w:val="20"/>
                <w:szCs w:val="20"/>
              </w:rPr>
            </w:pPr>
            <w:r w:rsidRPr="002F010C">
              <w:rPr>
                <w:b/>
                <w:bCs/>
                <w:sz w:val="20"/>
                <w:szCs w:val="20"/>
              </w:rPr>
              <w:t>Missing data</w:t>
            </w:r>
          </w:p>
        </w:tc>
        <w:tc>
          <w:tcPr>
            <w:tcW w:w="1196" w:type="dxa"/>
            <w:hideMark/>
          </w:tcPr>
          <w:p w:rsidR="003E41B6" w:rsidRPr="002F010C" w:rsidRDefault="003E41B6" w:rsidP="00D0545F">
            <w:pPr>
              <w:widowControl w:val="0"/>
              <w:rPr>
                <w:b/>
                <w:bCs/>
                <w:sz w:val="20"/>
                <w:szCs w:val="20"/>
              </w:rPr>
            </w:pPr>
            <w:r w:rsidRPr="002F010C">
              <w:rPr>
                <w:b/>
                <w:bCs/>
                <w:sz w:val="20"/>
                <w:szCs w:val="20"/>
              </w:rPr>
              <w:t>Measurement of outcomes</w:t>
            </w:r>
          </w:p>
        </w:tc>
        <w:tc>
          <w:tcPr>
            <w:tcW w:w="927" w:type="dxa"/>
            <w:hideMark/>
          </w:tcPr>
          <w:p w:rsidR="003E41B6" w:rsidRPr="002F010C" w:rsidRDefault="003E41B6" w:rsidP="00D0545F">
            <w:pPr>
              <w:widowControl w:val="0"/>
              <w:rPr>
                <w:b/>
                <w:bCs/>
                <w:sz w:val="20"/>
                <w:szCs w:val="20"/>
              </w:rPr>
            </w:pPr>
            <w:r w:rsidRPr="002F010C">
              <w:rPr>
                <w:b/>
                <w:bCs/>
                <w:sz w:val="20"/>
                <w:szCs w:val="20"/>
              </w:rPr>
              <w:t>Selection of reported result</w:t>
            </w:r>
          </w:p>
        </w:tc>
        <w:tc>
          <w:tcPr>
            <w:tcW w:w="1050" w:type="dxa"/>
            <w:noWrap/>
            <w:hideMark/>
          </w:tcPr>
          <w:p w:rsidR="003E41B6" w:rsidRPr="002F010C" w:rsidRDefault="003E41B6" w:rsidP="00D0545F">
            <w:pPr>
              <w:widowControl w:val="0"/>
              <w:rPr>
                <w:b/>
                <w:bCs/>
                <w:sz w:val="20"/>
                <w:szCs w:val="20"/>
              </w:rPr>
            </w:pPr>
            <w:r w:rsidRPr="002F010C">
              <w:rPr>
                <w:b/>
                <w:bCs/>
                <w:sz w:val="20"/>
                <w:szCs w:val="20"/>
              </w:rPr>
              <w:t>Overall bias</w:t>
            </w:r>
          </w:p>
        </w:tc>
      </w:tr>
      <w:tr w:rsidR="003E41B6" w:rsidRPr="002F010C" w:rsidTr="00D0545F">
        <w:trPr>
          <w:trHeight w:val="350"/>
        </w:trPr>
        <w:tc>
          <w:tcPr>
            <w:tcW w:w="9972" w:type="dxa"/>
            <w:gridSpan w:val="9"/>
            <w:noWrap/>
          </w:tcPr>
          <w:p w:rsidR="003E41B6" w:rsidRPr="002F010C" w:rsidRDefault="003E41B6" w:rsidP="00D0545F">
            <w:pPr>
              <w:widowControl w:val="0"/>
              <w:rPr>
                <w:b/>
                <w:bCs/>
                <w:sz w:val="20"/>
                <w:szCs w:val="20"/>
              </w:rPr>
            </w:pPr>
            <w:r w:rsidRPr="000A61FA">
              <w:rPr>
                <w:b/>
                <w:bCs/>
                <w:sz w:val="20"/>
                <w:szCs w:val="20"/>
              </w:rPr>
              <w:t>Head and neck squamous cell carcinoma</w:t>
            </w:r>
          </w:p>
        </w:tc>
      </w:tr>
      <w:tr w:rsidR="003E41B6" w:rsidRPr="002F010C" w:rsidTr="00D0545F">
        <w:trPr>
          <w:trHeight w:val="350"/>
        </w:trPr>
        <w:tc>
          <w:tcPr>
            <w:tcW w:w="875" w:type="dxa"/>
            <w:noWrap/>
            <w:hideMark/>
          </w:tcPr>
          <w:p w:rsidR="003E41B6" w:rsidRPr="002F010C" w:rsidRDefault="003E41B6" w:rsidP="00D0545F">
            <w:pPr>
              <w:widowControl w:val="0"/>
              <w:rPr>
                <w:b/>
                <w:bCs/>
                <w:sz w:val="20"/>
                <w:szCs w:val="20"/>
              </w:rPr>
            </w:pPr>
            <w:r w:rsidRPr="002F010C">
              <w:rPr>
                <w:b/>
                <w:bCs/>
                <w:sz w:val="20"/>
                <w:szCs w:val="20"/>
              </w:rPr>
              <w:t>Huang 2021</w:t>
            </w:r>
          </w:p>
        </w:tc>
        <w:tc>
          <w:tcPr>
            <w:tcW w:w="1257" w:type="dxa"/>
            <w:hideMark/>
          </w:tcPr>
          <w:p w:rsidR="003E41B6" w:rsidRPr="002F010C" w:rsidRDefault="003E41B6" w:rsidP="00D0545F">
            <w:pPr>
              <w:widowControl w:val="0"/>
              <w:rPr>
                <w:b/>
                <w:bCs/>
                <w:sz w:val="20"/>
                <w:szCs w:val="20"/>
              </w:rPr>
            </w:pPr>
            <w:r w:rsidRPr="002F010C">
              <w:rPr>
                <w:b/>
                <w:bCs/>
                <w:sz w:val="20"/>
                <w:szCs w:val="20"/>
              </w:rPr>
              <w:t>Serious</w:t>
            </w:r>
          </w:p>
        </w:tc>
        <w:tc>
          <w:tcPr>
            <w:tcW w:w="1175" w:type="dxa"/>
            <w:hideMark/>
          </w:tcPr>
          <w:p w:rsidR="003E41B6" w:rsidRPr="002F010C" w:rsidRDefault="003E41B6" w:rsidP="00D0545F">
            <w:pPr>
              <w:widowControl w:val="0"/>
              <w:rPr>
                <w:b/>
                <w:bCs/>
                <w:sz w:val="20"/>
                <w:szCs w:val="20"/>
              </w:rPr>
            </w:pPr>
            <w:r w:rsidRPr="002F010C">
              <w:rPr>
                <w:b/>
                <w:bCs/>
                <w:sz w:val="20"/>
                <w:szCs w:val="20"/>
              </w:rPr>
              <w:t xml:space="preserve">Moderate </w:t>
            </w:r>
          </w:p>
        </w:tc>
        <w:tc>
          <w:tcPr>
            <w:tcW w:w="1288" w:type="dxa"/>
            <w:hideMark/>
          </w:tcPr>
          <w:p w:rsidR="003E41B6" w:rsidRPr="002F010C" w:rsidRDefault="003E41B6" w:rsidP="00D0545F">
            <w:pPr>
              <w:widowControl w:val="0"/>
              <w:rPr>
                <w:b/>
                <w:bCs/>
                <w:sz w:val="20"/>
                <w:szCs w:val="20"/>
              </w:rPr>
            </w:pPr>
            <w:r w:rsidRPr="002F010C">
              <w:rPr>
                <w:b/>
                <w:bCs/>
                <w:sz w:val="20"/>
                <w:szCs w:val="20"/>
              </w:rPr>
              <w:t xml:space="preserve">Low </w:t>
            </w:r>
          </w:p>
        </w:tc>
        <w:tc>
          <w:tcPr>
            <w:tcW w:w="1354" w:type="dxa"/>
            <w:hideMark/>
          </w:tcPr>
          <w:p w:rsidR="003E41B6" w:rsidRPr="002F010C" w:rsidRDefault="003E41B6" w:rsidP="00D0545F">
            <w:pPr>
              <w:widowControl w:val="0"/>
              <w:rPr>
                <w:b/>
                <w:bCs/>
                <w:sz w:val="20"/>
                <w:szCs w:val="20"/>
              </w:rPr>
            </w:pPr>
            <w:r w:rsidRPr="002F010C">
              <w:rPr>
                <w:b/>
                <w:bCs/>
                <w:sz w:val="20"/>
                <w:szCs w:val="20"/>
              </w:rPr>
              <w:t xml:space="preserve">Moderate </w:t>
            </w:r>
          </w:p>
        </w:tc>
        <w:tc>
          <w:tcPr>
            <w:tcW w:w="850" w:type="dxa"/>
            <w:hideMark/>
          </w:tcPr>
          <w:p w:rsidR="003E41B6" w:rsidRPr="002F010C" w:rsidRDefault="003E41B6" w:rsidP="00D0545F">
            <w:pPr>
              <w:widowControl w:val="0"/>
              <w:rPr>
                <w:b/>
                <w:bCs/>
                <w:sz w:val="20"/>
                <w:szCs w:val="20"/>
              </w:rPr>
            </w:pPr>
            <w:r w:rsidRPr="002F010C">
              <w:rPr>
                <w:b/>
                <w:bCs/>
                <w:sz w:val="20"/>
                <w:szCs w:val="20"/>
              </w:rPr>
              <w:t xml:space="preserve">Low </w:t>
            </w:r>
          </w:p>
        </w:tc>
        <w:tc>
          <w:tcPr>
            <w:tcW w:w="1196" w:type="dxa"/>
            <w:hideMark/>
          </w:tcPr>
          <w:p w:rsidR="003E41B6" w:rsidRPr="002F010C" w:rsidRDefault="003E41B6" w:rsidP="00D0545F">
            <w:pPr>
              <w:widowControl w:val="0"/>
              <w:rPr>
                <w:b/>
                <w:bCs/>
                <w:sz w:val="20"/>
                <w:szCs w:val="20"/>
              </w:rPr>
            </w:pPr>
            <w:r w:rsidRPr="002F010C">
              <w:rPr>
                <w:b/>
                <w:bCs/>
                <w:sz w:val="20"/>
                <w:szCs w:val="20"/>
              </w:rPr>
              <w:t xml:space="preserve">Low </w:t>
            </w:r>
          </w:p>
        </w:tc>
        <w:tc>
          <w:tcPr>
            <w:tcW w:w="927" w:type="dxa"/>
            <w:hideMark/>
          </w:tcPr>
          <w:p w:rsidR="003E41B6" w:rsidRPr="002F010C" w:rsidRDefault="003E41B6" w:rsidP="00D0545F">
            <w:pPr>
              <w:widowControl w:val="0"/>
              <w:rPr>
                <w:b/>
                <w:bCs/>
                <w:sz w:val="20"/>
                <w:szCs w:val="20"/>
              </w:rPr>
            </w:pPr>
            <w:r w:rsidRPr="002F010C">
              <w:rPr>
                <w:b/>
                <w:bCs/>
                <w:sz w:val="20"/>
                <w:szCs w:val="20"/>
              </w:rPr>
              <w:t xml:space="preserve">Low </w:t>
            </w:r>
          </w:p>
        </w:tc>
        <w:tc>
          <w:tcPr>
            <w:tcW w:w="1050" w:type="dxa"/>
            <w:hideMark/>
          </w:tcPr>
          <w:p w:rsidR="003E41B6" w:rsidRPr="002F010C" w:rsidRDefault="003E41B6" w:rsidP="00D0545F">
            <w:pPr>
              <w:widowControl w:val="0"/>
              <w:rPr>
                <w:b/>
                <w:bCs/>
                <w:sz w:val="20"/>
                <w:szCs w:val="20"/>
              </w:rPr>
            </w:pPr>
            <w:r w:rsidRPr="002F010C">
              <w:rPr>
                <w:b/>
                <w:bCs/>
                <w:sz w:val="20"/>
                <w:szCs w:val="20"/>
              </w:rPr>
              <w:t>Serious</w:t>
            </w:r>
          </w:p>
        </w:tc>
      </w:tr>
      <w:tr w:rsidR="003E41B6" w:rsidRPr="002F010C" w:rsidTr="00D0545F">
        <w:trPr>
          <w:trHeight w:val="350"/>
        </w:trPr>
        <w:tc>
          <w:tcPr>
            <w:tcW w:w="875" w:type="dxa"/>
            <w:noWrap/>
            <w:hideMark/>
          </w:tcPr>
          <w:p w:rsidR="003E41B6" w:rsidRPr="002F010C" w:rsidRDefault="003E41B6" w:rsidP="00D0545F">
            <w:pPr>
              <w:widowControl w:val="0"/>
              <w:rPr>
                <w:b/>
                <w:bCs/>
                <w:sz w:val="20"/>
                <w:szCs w:val="20"/>
              </w:rPr>
            </w:pPr>
            <w:r w:rsidRPr="002F010C">
              <w:rPr>
                <w:b/>
                <w:bCs/>
                <w:sz w:val="20"/>
                <w:szCs w:val="20"/>
              </w:rPr>
              <w:t>Huang 2022</w:t>
            </w:r>
          </w:p>
        </w:tc>
        <w:tc>
          <w:tcPr>
            <w:tcW w:w="1257" w:type="dxa"/>
            <w:hideMark/>
          </w:tcPr>
          <w:p w:rsidR="003E41B6" w:rsidRPr="002F010C" w:rsidRDefault="003E41B6" w:rsidP="00D0545F">
            <w:pPr>
              <w:widowControl w:val="0"/>
              <w:rPr>
                <w:b/>
                <w:bCs/>
                <w:sz w:val="20"/>
                <w:szCs w:val="20"/>
              </w:rPr>
            </w:pPr>
            <w:r w:rsidRPr="002F010C">
              <w:rPr>
                <w:b/>
                <w:bCs/>
                <w:sz w:val="20"/>
                <w:szCs w:val="20"/>
              </w:rPr>
              <w:t>Serious</w:t>
            </w:r>
          </w:p>
        </w:tc>
        <w:tc>
          <w:tcPr>
            <w:tcW w:w="1175" w:type="dxa"/>
            <w:hideMark/>
          </w:tcPr>
          <w:p w:rsidR="003E41B6" w:rsidRPr="002F010C" w:rsidRDefault="003E41B6" w:rsidP="00D0545F">
            <w:pPr>
              <w:widowControl w:val="0"/>
              <w:rPr>
                <w:b/>
                <w:bCs/>
                <w:sz w:val="20"/>
                <w:szCs w:val="20"/>
              </w:rPr>
            </w:pPr>
            <w:r w:rsidRPr="002F010C">
              <w:rPr>
                <w:b/>
                <w:bCs/>
                <w:sz w:val="20"/>
                <w:szCs w:val="20"/>
              </w:rPr>
              <w:t xml:space="preserve">Moderate </w:t>
            </w:r>
          </w:p>
        </w:tc>
        <w:tc>
          <w:tcPr>
            <w:tcW w:w="1288" w:type="dxa"/>
            <w:hideMark/>
          </w:tcPr>
          <w:p w:rsidR="003E41B6" w:rsidRPr="002F010C" w:rsidRDefault="003E41B6" w:rsidP="00D0545F">
            <w:pPr>
              <w:widowControl w:val="0"/>
              <w:rPr>
                <w:b/>
                <w:bCs/>
                <w:sz w:val="20"/>
                <w:szCs w:val="20"/>
              </w:rPr>
            </w:pPr>
            <w:r w:rsidRPr="002F010C">
              <w:rPr>
                <w:b/>
                <w:bCs/>
                <w:sz w:val="20"/>
                <w:szCs w:val="20"/>
              </w:rPr>
              <w:t xml:space="preserve">Low </w:t>
            </w:r>
          </w:p>
        </w:tc>
        <w:tc>
          <w:tcPr>
            <w:tcW w:w="1354" w:type="dxa"/>
            <w:hideMark/>
          </w:tcPr>
          <w:p w:rsidR="003E41B6" w:rsidRPr="002F010C" w:rsidRDefault="003E41B6" w:rsidP="00D0545F">
            <w:pPr>
              <w:widowControl w:val="0"/>
              <w:rPr>
                <w:b/>
                <w:bCs/>
                <w:sz w:val="20"/>
                <w:szCs w:val="20"/>
              </w:rPr>
            </w:pPr>
            <w:r w:rsidRPr="002F010C">
              <w:rPr>
                <w:b/>
                <w:bCs/>
                <w:sz w:val="20"/>
                <w:szCs w:val="20"/>
              </w:rPr>
              <w:t xml:space="preserve">Moderate </w:t>
            </w:r>
          </w:p>
        </w:tc>
        <w:tc>
          <w:tcPr>
            <w:tcW w:w="850" w:type="dxa"/>
            <w:hideMark/>
          </w:tcPr>
          <w:p w:rsidR="003E41B6" w:rsidRPr="002F010C" w:rsidRDefault="003E41B6" w:rsidP="00D0545F">
            <w:pPr>
              <w:widowControl w:val="0"/>
              <w:rPr>
                <w:b/>
                <w:bCs/>
                <w:sz w:val="20"/>
                <w:szCs w:val="20"/>
              </w:rPr>
            </w:pPr>
            <w:r w:rsidRPr="002F010C">
              <w:rPr>
                <w:b/>
                <w:bCs/>
                <w:sz w:val="20"/>
                <w:szCs w:val="20"/>
              </w:rPr>
              <w:t xml:space="preserve">Low </w:t>
            </w:r>
          </w:p>
        </w:tc>
        <w:tc>
          <w:tcPr>
            <w:tcW w:w="1196" w:type="dxa"/>
            <w:hideMark/>
          </w:tcPr>
          <w:p w:rsidR="003E41B6" w:rsidRPr="002F010C" w:rsidRDefault="003E41B6" w:rsidP="00D0545F">
            <w:pPr>
              <w:widowControl w:val="0"/>
              <w:rPr>
                <w:b/>
                <w:bCs/>
                <w:sz w:val="20"/>
                <w:szCs w:val="20"/>
              </w:rPr>
            </w:pPr>
            <w:r w:rsidRPr="002F010C">
              <w:rPr>
                <w:b/>
                <w:bCs/>
                <w:sz w:val="20"/>
                <w:szCs w:val="20"/>
              </w:rPr>
              <w:t xml:space="preserve">Low </w:t>
            </w:r>
          </w:p>
        </w:tc>
        <w:tc>
          <w:tcPr>
            <w:tcW w:w="927" w:type="dxa"/>
            <w:hideMark/>
          </w:tcPr>
          <w:p w:rsidR="003E41B6" w:rsidRPr="002F010C" w:rsidRDefault="003E41B6" w:rsidP="00D0545F">
            <w:pPr>
              <w:widowControl w:val="0"/>
              <w:rPr>
                <w:b/>
                <w:bCs/>
                <w:sz w:val="20"/>
                <w:szCs w:val="20"/>
              </w:rPr>
            </w:pPr>
            <w:r w:rsidRPr="002F010C">
              <w:rPr>
                <w:b/>
                <w:bCs/>
                <w:sz w:val="20"/>
                <w:szCs w:val="20"/>
              </w:rPr>
              <w:t xml:space="preserve">Low </w:t>
            </w:r>
          </w:p>
        </w:tc>
        <w:tc>
          <w:tcPr>
            <w:tcW w:w="1050" w:type="dxa"/>
            <w:hideMark/>
          </w:tcPr>
          <w:p w:rsidR="003E41B6" w:rsidRPr="002F010C" w:rsidRDefault="003E41B6" w:rsidP="00D0545F">
            <w:pPr>
              <w:widowControl w:val="0"/>
              <w:rPr>
                <w:b/>
                <w:bCs/>
                <w:sz w:val="20"/>
                <w:szCs w:val="20"/>
              </w:rPr>
            </w:pPr>
            <w:r w:rsidRPr="002F010C">
              <w:rPr>
                <w:b/>
                <w:bCs/>
                <w:sz w:val="20"/>
                <w:szCs w:val="20"/>
              </w:rPr>
              <w:t>Serious</w:t>
            </w:r>
          </w:p>
        </w:tc>
      </w:tr>
      <w:tr w:rsidR="003E41B6" w:rsidRPr="002F010C" w:rsidTr="00D0545F">
        <w:trPr>
          <w:trHeight w:val="350"/>
        </w:trPr>
        <w:tc>
          <w:tcPr>
            <w:tcW w:w="875" w:type="dxa"/>
            <w:noWrap/>
            <w:hideMark/>
          </w:tcPr>
          <w:p w:rsidR="003E41B6" w:rsidRPr="002F010C" w:rsidRDefault="003E41B6" w:rsidP="00D0545F">
            <w:pPr>
              <w:widowControl w:val="0"/>
              <w:rPr>
                <w:b/>
                <w:bCs/>
                <w:sz w:val="20"/>
                <w:szCs w:val="20"/>
              </w:rPr>
            </w:pPr>
            <w:r w:rsidRPr="002F010C">
              <w:rPr>
                <w:b/>
                <w:bCs/>
                <w:sz w:val="20"/>
                <w:szCs w:val="20"/>
              </w:rPr>
              <w:t>Lien 2023</w:t>
            </w:r>
          </w:p>
        </w:tc>
        <w:tc>
          <w:tcPr>
            <w:tcW w:w="1257" w:type="dxa"/>
            <w:hideMark/>
          </w:tcPr>
          <w:p w:rsidR="003E41B6" w:rsidRPr="002F010C" w:rsidRDefault="003E41B6" w:rsidP="00D0545F">
            <w:pPr>
              <w:widowControl w:val="0"/>
              <w:rPr>
                <w:b/>
                <w:bCs/>
                <w:sz w:val="20"/>
                <w:szCs w:val="20"/>
              </w:rPr>
            </w:pPr>
            <w:r w:rsidRPr="002F010C">
              <w:rPr>
                <w:b/>
                <w:bCs/>
                <w:sz w:val="20"/>
                <w:szCs w:val="20"/>
              </w:rPr>
              <w:t>Serious</w:t>
            </w:r>
          </w:p>
        </w:tc>
        <w:tc>
          <w:tcPr>
            <w:tcW w:w="1175" w:type="dxa"/>
            <w:hideMark/>
          </w:tcPr>
          <w:p w:rsidR="003E41B6" w:rsidRPr="002F010C" w:rsidRDefault="003E41B6" w:rsidP="00D0545F">
            <w:pPr>
              <w:widowControl w:val="0"/>
              <w:rPr>
                <w:b/>
                <w:bCs/>
                <w:sz w:val="20"/>
                <w:szCs w:val="20"/>
              </w:rPr>
            </w:pPr>
            <w:r w:rsidRPr="002F010C">
              <w:rPr>
                <w:b/>
                <w:bCs/>
                <w:sz w:val="20"/>
                <w:szCs w:val="20"/>
              </w:rPr>
              <w:t xml:space="preserve">Moderate </w:t>
            </w:r>
          </w:p>
        </w:tc>
        <w:tc>
          <w:tcPr>
            <w:tcW w:w="1288" w:type="dxa"/>
            <w:hideMark/>
          </w:tcPr>
          <w:p w:rsidR="003E41B6" w:rsidRPr="002F010C" w:rsidRDefault="003E41B6" w:rsidP="00D0545F">
            <w:pPr>
              <w:widowControl w:val="0"/>
              <w:rPr>
                <w:b/>
                <w:bCs/>
                <w:sz w:val="20"/>
                <w:szCs w:val="20"/>
              </w:rPr>
            </w:pPr>
            <w:r w:rsidRPr="002F010C">
              <w:rPr>
                <w:b/>
                <w:bCs/>
                <w:sz w:val="20"/>
                <w:szCs w:val="20"/>
              </w:rPr>
              <w:t xml:space="preserve">Low </w:t>
            </w:r>
          </w:p>
        </w:tc>
        <w:tc>
          <w:tcPr>
            <w:tcW w:w="1354" w:type="dxa"/>
            <w:hideMark/>
          </w:tcPr>
          <w:p w:rsidR="003E41B6" w:rsidRPr="002F010C" w:rsidRDefault="003E41B6" w:rsidP="00D0545F">
            <w:pPr>
              <w:widowControl w:val="0"/>
              <w:rPr>
                <w:b/>
                <w:bCs/>
                <w:sz w:val="20"/>
                <w:szCs w:val="20"/>
              </w:rPr>
            </w:pPr>
            <w:r w:rsidRPr="002F010C">
              <w:rPr>
                <w:b/>
                <w:bCs/>
                <w:sz w:val="20"/>
                <w:szCs w:val="20"/>
              </w:rPr>
              <w:t xml:space="preserve">Low </w:t>
            </w:r>
          </w:p>
        </w:tc>
        <w:tc>
          <w:tcPr>
            <w:tcW w:w="850" w:type="dxa"/>
            <w:hideMark/>
          </w:tcPr>
          <w:p w:rsidR="003E41B6" w:rsidRPr="002F010C" w:rsidRDefault="003E41B6" w:rsidP="00D0545F">
            <w:pPr>
              <w:widowControl w:val="0"/>
              <w:rPr>
                <w:b/>
                <w:bCs/>
                <w:sz w:val="20"/>
                <w:szCs w:val="20"/>
              </w:rPr>
            </w:pPr>
            <w:r w:rsidRPr="002F010C">
              <w:rPr>
                <w:b/>
                <w:bCs/>
                <w:sz w:val="20"/>
                <w:szCs w:val="20"/>
              </w:rPr>
              <w:t xml:space="preserve">Low </w:t>
            </w:r>
          </w:p>
        </w:tc>
        <w:tc>
          <w:tcPr>
            <w:tcW w:w="1196" w:type="dxa"/>
            <w:hideMark/>
          </w:tcPr>
          <w:p w:rsidR="003E41B6" w:rsidRPr="002F010C" w:rsidRDefault="003E41B6" w:rsidP="00D0545F">
            <w:pPr>
              <w:widowControl w:val="0"/>
              <w:rPr>
                <w:b/>
                <w:bCs/>
                <w:sz w:val="20"/>
                <w:szCs w:val="20"/>
              </w:rPr>
            </w:pPr>
            <w:r w:rsidRPr="002F010C">
              <w:rPr>
                <w:b/>
                <w:bCs/>
                <w:sz w:val="20"/>
                <w:szCs w:val="20"/>
              </w:rPr>
              <w:t xml:space="preserve">Low </w:t>
            </w:r>
          </w:p>
        </w:tc>
        <w:tc>
          <w:tcPr>
            <w:tcW w:w="927" w:type="dxa"/>
            <w:hideMark/>
          </w:tcPr>
          <w:p w:rsidR="003E41B6" w:rsidRPr="002F010C" w:rsidRDefault="003E41B6" w:rsidP="00D0545F">
            <w:pPr>
              <w:widowControl w:val="0"/>
              <w:rPr>
                <w:b/>
                <w:bCs/>
                <w:sz w:val="20"/>
                <w:szCs w:val="20"/>
              </w:rPr>
            </w:pPr>
            <w:r w:rsidRPr="002F010C">
              <w:rPr>
                <w:b/>
                <w:bCs/>
                <w:sz w:val="20"/>
                <w:szCs w:val="20"/>
              </w:rPr>
              <w:t xml:space="preserve">Low </w:t>
            </w:r>
          </w:p>
        </w:tc>
        <w:tc>
          <w:tcPr>
            <w:tcW w:w="1050" w:type="dxa"/>
            <w:hideMark/>
          </w:tcPr>
          <w:p w:rsidR="003E41B6" w:rsidRPr="002F010C" w:rsidRDefault="003E41B6" w:rsidP="00D0545F">
            <w:pPr>
              <w:widowControl w:val="0"/>
              <w:rPr>
                <w:b/>
                <w:bCs/>
                <w:sz w:val="20"/>
                <w:szCs w:val="20"/>
              </w:rPr>
            </w:pPr>
            <w:r w:rsidRPr="002F010C">
              <w:rPr>
                <w:b/>
                <w:bCs/>
                <w:sz w:val="20"/>
                <w:szCs w:val="20"/>
              </w:rPr>
              <w:t>Serious</w:t>
            </w:r>
          </w:p>
        </w:tc>
      </w:tr>
      <w:tr w:rsidR="003E41B6" w:rsidRPr="002F010C" w:rsidTr="00D0545F">
        <w:trPr>
          <w:trHeight w:val="350"/>
        </w:trPr>
        <w:tc>
          <w:tcPr>
            <w:tcW w:w="875" w:type="dxa"/>
            <w:noWrap/>
          </w:tcPr>
          <w:p w:rsidR="003E41B6" w:rsidRPr="002F010C" w:rsidRDefault="003E41B6" w:rsidP="00D0545F">
            <w:pPr>
              <w:widowControl w:val="0"/>
              <w:rPr>
                <w:b/>
                <w:bCs/>
                <w:sz w:val="20"/>
                <w:szCs w:val="20"/>
              </w:rPr>
            </w:pPr>
            <w:r w:rsidRPr="000A61FA">
              <w:rPr>
                <w:b/>
                <w:bCs/>
                <w:sz w:val="20"/>
                <w:szCs w:val="20"/>
              </w:rPr>
              <w:t>Yeh 2021</w:t>
            </w:r>
          </w:p>
        </w:tc>
        <w:tc>
          <w:tcPr>
            <w:tcW w:w="1257" w:type="dxa"/>
          </w:tcPr>
          <w:p w:rsidR="003E41B6" w:rsidRPr="002F010C" w:rsidRDefault="003E41B6" w:rsidP="00D0545F">
            <w:pPr>
              <w:widowControl w:val="0"/>
              <w:rPr>
                <w:b/>
                <w:bCs/>
                <w:sz w:val="20"/>
                <w:szCs w:val="20"/>
              </w:rPr>
            </w:pPr>
            <w:r w:rsidRPr="002F010C">
              <w:rPr>
                <w:b/>
                <w:bCs/>
                <w:sz w:val="20"/>
                <w:szCs w:val="20"/>
              </w:rPr>
              <w:t>Serious</w:t>
            </w:r>
          </w:p>
        </w:tc>
        <w:tc>
          <w:tcPr>
            <w:tcW w:w="1175" w:type="dxa"/>
          </w:tcPr>
          <w:p w:rsidR="003E41B6" w:rsidRPr="002F010C" w:rsidRDefault="003E41B6" w:rsidP="00D0545F">
            <w:pPr>
              <w:widowControl w:val="0"/>
              <w:rPr>
                <w:b/>
                <w:bCs/>
                <w:sz w:val="20"/>
                <w:szCs w:val="20"/>
              </w:rPr>
            </w:pPr>
            <w:r w:rsidRPr="002F010C">
              <w:rPr>
                <w:b/>
                <w:bCs/>
                <w:sz w:val="20"/>
                <w:szCs w:val="20"/>
              </w:rPr>
              <w:t>Serious</w:t>
            </w:r>
          </w:p>
        </w:tc>
        <w:tc>
          <w:tcPr>
            <w:tcW w:w="1288" w:type="dxa"/>
          </w:tcPr>
          <w:p w:rsidR="003E41B6" w:rsidRPr="002F010C" w:rsidRDefault="003E41B6" w:rsidP="00D0545F">
            <w:pPr>
              <w:widowControl w:val="0"/>
              <w:rPr>
                <w:b/>
                <w:bCs/>
                <w:sz w:val="20"/>
                <w:szCs w:val="20"/>
              </w:rPr>
            </w:pPr>
            <w:r w:rsidRPr="002F010C">
              <w:rPr>
                <w:b/>
                <w:bCs/>
                <w:sz w:val="20"/>
                <w:szCs w:val="20"/>
              </w:rPr>
              <w:t xml:space="preserve">Moderate </w:t>
            </w:r>
          </w:p>
        </w:tc>
        <w:tc>
          <w:tcPr>
            <w:tcW w:w="1354" w:type="dxa"/>
          </w:tcPr>
          <w:p w:rsidR="003E41B6" w:rsidRPr="002F010C" w:rsidRDefault="003E41B6" w:rsidP="00D0545F">
            <w:pPr>
              <w:widowControl w:val="0"/>
              <w:rPr>
                <w:b/>
                <w:bCs/>
                <w:sz w:val="20"/>
                <w:szCs w:val="20"/>
              </w:rPr>
            </w:pPr>
            <w:r w:rsidRPr="002F010C">
              <w:rPr>
                <w:b/>
                <w:bCs/>
                <w:sz w:val="20"/>
                <w:szCs w:val="20"/>
              </w:rPr>
              <w:t xml:space="preserve">Moderate </w:t>
            </w:r>
          </w:p>
        </w:tc>
        <w:tc>
          <w:tcPr>
            <w:tcW w:w="850" w:type="dxa"/>
          </w:tcPr>
          <w:p w:rsidR="003E41B6" w:rsidRPr="002F010C" w:rsidRDefault="003E41B6" w:rsidP="00D0545F">
            <w:pPr>
              <w:widowControl w:val="0"/>
              <w:rPr>
                <w:b/>
                <w:bCs/>
                <w:sz w:val="20"/>
                <w:szCs w:val="20"/>
              </w:rPr>
            </w:pPr>
            <w:r w:rsidRPr="002F010C">
              <w:rPr>
                <w:b/>
                <w:bCs/>
                <w:sz w:val="20"/>
                <w:szCs w:val="20"/>
              </w:rPr>
              <w:t xml:space="preserve">Low </w:t>
            </w:r>
          </w:p>
        </w:tc>
        <w:tc>
          <w:tcPr>
            <w:tcW w:w="1196" w:type="dxa"/>
          </w:tcPr>
          <w:p w:rsidR="003E41B6" w:rsidRPr="002F010C" w:rsidRDefault="003E41B6" w:rsidP="00D0545F">
            <w:pPr>
              <w:widowControl w:val="0"/>
              <w:rPr>
                <w:b/>
                <w:bCs/>
                <w:sz w:val="20"/>
                <w:szCs w:val="20"/>
              </w:rPr>
            </w:pPr>
            <w:r w:rsidRPr="002F010C">
              <w:rPr>
                <w:b/>
                <w:bCs/>
                <w:sz w:val="20"/>
                <w:szCs w:val="20"/>
              </w:rPr>
              <w:t xml:space="preserve">Moderate </w:t>
            </w:r>
          </w:p>
        </w:tc>
        <w:tc>
          <w:tcPr>
            <w:tcW w:w="927" w:type="dxa"/>
          </w:tcPr>
          <w:p w:rsidR="003E41B6" w:rsidRPr="002F010C" w:rsidRDefault="003E41B6" w:rsidP="00D0545F">
            <w:pPr>
              <w:widowControl w:val="0"/>
              <w:rPr>
                <w:b/>
                <w:bCs/>
                <w:sz w:val="20"/>
                <w:szCs w:val="20"/>
              </w:rPr>
            </w:pPr>
            <w:r w:rsidRPr="002F010C">
              <w:rPr>
                <w:b/>
                <w:bCs/>
                <w:sz w:val="20"/>
                <w:szCs w:val="20"/>
              </w:rPr>
              <w:t>Low</w:t>
            </w:r>
          </w:p>
        </w:tc>
        <w:tc>
          <w:tcPr>
            <w:tcW w:w="1050" w:type="dxa"/>
          </w:tcPr>
          <w:p w:rsidR="003E41B6" w:rsidRPr="002F010C" w:rsidRDefault="003E41B6" w:rsidP="00D0545F">
            <w:pPr>
              <w:widowControl w:val="0"/>
              <w:rPr>
                <w:b/>
                <w:bCs/>
                <w:sz w:val="20"/>
                <w:szCs w:val="20"/>
              </w:rPr>
            </w:pPr>
            <w:r w:rsidRPr="002F010C">
              <w:rPr>
                <w:b/>
                <w:bCs/>
                <w:sz w:val="20"/>
                <w:szCs w:val="20"/>
              </w:rPr>
              <w:t>Serious</w:t>
            </w:r>
          </w:p>
        </w:tc>
      </w:tr>
      <w:tr w:rsidR="003E41B6" w:rsidRPr="002F010C" w:rsidTr="00D0545F">
        <w:trPr>
          <w:trHeight w:val="350"/>
        </w:trPr>
        <w:tc>
          <w:tcPr>
            <w:tcW w:w="875" w:type="dxa"/>
            <w:noWrap/>
          </w:tcPr>
          <w:p w:rsidR="003E41B6" w:rsidRPr="000A61FA" w:rsidRDefault="003E41B6" w:rsidP="00D0545F">
            <w:pPr>
              <w:widowControl w:val="0"/>
              <w:rPr>
                <w:b/>
                <w:bCs/>
                <w:sz w:val="20"/>
                <w:szCs w:val="20"/>
              </w:rPr>
            </w:pPr>
            <w:r w:rsidRPr="000A61FA">
              <w:rPr>
                <w:b/>
                <w:bCs/>
                <w:sz w:val="20"/>
                <w:szCs w:val="20"/>
              </w:rPr>
              <w:t>Hsieh 2018</w:t>
            </w:r>
          </w:p>
        </w:tc>
        <w:tc>
          <w:tcPr>
            <w:tcW w:w="1257" w:type="dxa"/>
          </w:tcPr>
          <w:p w:rsidR="003E41B6" w:rsidRPr="002F010C" w:rsidRDefault="003E41B6" w:rsidP="00D0545F">
            <w:pPr>
              <w:widowControl w:val="0"/>
              <w:rPr>
                <w:b/>
                <w:bCs/>
                <w:sz w:val="20"/>
                <w:szCs w:val="20"/>
              </w:rPr>
            </w:pPr>
            <w:r w:rsidRPr="002F010C">
              <w:rPr>
                <w:b/>
                <w:bCs/>
                <w:sz w:val="20"/>
                <w:szCs w:val="20"/>
              </w:rPr>
              <w:t>Serious</w:t>
            </w:r>
          </w:p>
        </w:tc>
        <w:tc>
          <w:tcPr>
            <w:tcW w:w="1175" w:type="dxa"/>
          </w:tcPr>
          <w:p w:rsidR="003E41B6" w:rsidRPr="002F010C" w:rsidRDefault="003E41B6" w:rsidP="00D0545F">
            <w:pPr>
              <w:widowControl w:val="0"/>
              <w:rPr>
                <w:b/>
                <w:bCs/>
                <w:sz w:val="20"/>
                <w:szCs w:val="20"/>
              </w:rPr>
            </w:pPr>
            <w:r w:rsidRPr="002F010C">
              <w:rPr>
                <w:b/>
                <w:bCs/>
                <w:sz w:val="20"/>
                <w:szCs w:val="20"/>
              </w:rPr>
              <w:t>Moderate</w:t>
            </w:r>
          </w:p>
        </w:tc>
        <w:tc>
          <w:tcPr>
            <w:tcW w:w="1288" w:type="dxa"/>
          </w:tcPr>
          <w:p w:rsidR="003E41B6" w:rsidRPr="002F010C" w:rsidRDefault="003E41B6" w:rsidP="00D0545F">
            <w:pPr>
              <w:widowControl w:val="0"/>
              <w:rPr>
                <w:b/>
                <w:bCs/>
                <w:sz w:val="20"/>
                <w:szCs w:val="20"/>
              </w:rPr>
            </w:pPr>
            <w:r w:rsidRPr="002F010C">
              <w:rPr>
                <w:b/>
                <w:bCs/>
                <w:sz w:val="20"/>
                <w:szCs w:val="20"/>
              </w:rPr>
              <w:t>Low</w:t>
            </w:r>
          </w:p>
        </w:tc>
        <w:tc>
          <w:tcPr>
            <w:tcW w:w="1354" w:type="dxa"/>
          </w:tcPr>
          <w:p w:rsidR="003E41B6" w:rsidRPr="002F010C" w:rsidRDefault="003E41B6" w:rsidP="00D0545F">
            <w:pPr>
              <w:widowControl w:val="0"/>
              <w:rPr>
                <w:b/>
                <w:bCs/>
                <w:sz w:val="20"/>
                <w:szCs w:val="20"/>
              </w:rPr>
            </w:pPr>
            <w:r w:rsidRPr="002F010C">
              <w:rPr>
                <w:b/>
                <w:bCs/>
                <w:sz w:val="20"/>
                <w:szCs w:val="20"/>
              </w:rPr>
              <w:t>Moderate</w:t>
            </w:r>
          </w:p>
        </w:tc>
        <w:tc>
          <w:tcPr>
            <w:tcW w:w="850" w:type="dxa"/>
          </w:tcPr>
          <w:p w:rsidR="003E41B6" w:rsidRPr="002F010C" w:rsidRDefault="003E41B6" w:rsidP="00D0545F">
            <w:pPr>
              <w:widowControl w:val="0"/>
              <w:rPr>
                <w:b/>
                <w:bCs/>
                <w:sz w:val="20"/>
                <w:szCs w:val="20"/>
              </w:rPr>
            </w:pPr>
            <w:r w:rsidRPr="002F010C">
              <w:rPr>
                <w:b/>
                <w:bCs/>
                <w:sz w:val="20"/>
                <w:szCs w:val="20"/>
              </w:rPr>
              <w:t xml:space="preserve">Low </w:t>
            </w:r>
          </w:p>
        </w:tc>
        <w:tc>
          <w:tcPr>
            <w:tcW w:w="1196" w:type="dxa"/>
          </w:tcPr>
          <w:p w:rsidR="003E41B6" w:rsidRPr="002F010C" w:rsidRDefault="003E41B6" w:rsidP="00D0545F">
            <w:pPr>
              <w:widowControl w:val="0"/>
              <w:rPr>
                <w:b/>
                <w:bCs/>
                <w:sz w:val="20"/>
                <w:szCs w:val="20"/>
              </w:rPr>
            </w:pPr>
            <w:r w:rsidRPr="002F010C">
              <w:rPr>
                <w:b/>
                <w:bCs/>
                <w:sz w:val="20"/>
                <w:szCs w:val="20"/>
              </w:rPr>
              <w:t>Low</w:t>
            </w:r>
          </w:p>
        </w:tc>
        <w:tc>
          <w:tcPr>
            <w:tcW w:w="927" w:type="dxa"/>
          </w:tcPr>
          <w:p w:rsidR="003E41B6" w:rsidRPr="002F010C" w:rsidRDefault="003E41B6" w:rsidP="00D0545F">
            <w:pPr>
              <w:widowControl w:val="0"/>
              <w:rPr>
                <w:b/>
                <w:bCs/>
                <w:sz w:val="20"/>
                <w:szCs w:val="20"/>
              </w:rPr>
            </w:pPr>
            <w:r>
              <w:rPr>
                <w:b/>
                <w:bCs/>
                <w:sz w:val="20"/>
                <w:szCs w:val="20"/>
              </w:rPr>
              <w:t>L</w:t>
            </w:r>
            <w:r>
              <w:rPr>
                <w:rFonts w:hint="eastAsia"/>
                <w:b/>
                <w:bCs/>
                <w:sz w:val="20"/>
                <w:szCs w:val="20"/>
              </w:rPr>
              <w:t>ow</w:t>
            </w:r>
          </w:p>
        </w:tc>
        <w:tc>
          <w:tcPr>
            <w:tcW w:w="1050" w:type="dxa"/>
          </w:tcPr>
          <w:p w:rsidR="003E41B6" w:rsidRPr="002F010C" w:rsidRDefault="003E41B6" w:rsidP="00D0545F">
            <w:pPr>
              <w:widowControl w:val="0"/>
              <w:rPr>
                <w:b/>
                <w:bCs/>
                <w:sz w:val="20"/>
                <w:szCs w:val="20"/>
              </w:rPr>
            </w:pPr>
            <w:r w:rsidRPr="002F010C">
              <w:rPr>
                <w:b/>
                <w:bCs/>
                <w:sz w:val="20"/>
                <w:szCs w:val="20"/>
              </w:rPr>
              <w:t>Serious</w:t>
            </w:r>
          </w:p>
        </w:tc>
      </w:tr>
      <w:tr w:rsidR="003E41B6" w:rsidRPr="002F010C" w:rsidTr="00D0545F">
        <w:trPr>
          <w:trHeight w:val="350"/>
        </w:trPr>
        <w:tc>
          <w:tcPr>
            <w:tcW w:w="875" w:type="dxa"/>
            <w:noWrap/>
          </w:tcPr>
          <w:p w:rsidR="003E41B6" w:rsidRPr="000A61FA" w:rsidRDefault="003E41B6" w:rsidP="00D0545F">
            <w:pPr>
              <w:widowControl w:val="0"/>
              <w:rPr>
                <w:b/>
                <w:bCs/>
                <w:sz w:val="20"/>
                <w:szCs w:val="20"/>
              </w:rPr>
            </w:pPr>
            <w:r w:rsidRPr="000A61FA">
              <w:rPr>
                <w:b/>
                <w:bCs/>
                <w:sz w:val="20"/>
                <w:szCs w:val="20"/>
              </w:rPr>
              <w:t>Hsieh</w:t>
            </w:r>
            <w:r>
              <w:rPr>
                <w:rFonts w:hint="eastAsia"/>
                <w:b/>
                <w:bCs/>
                <w:sz w:val="20"/>
                <w:szCs w:val="20"/>
              </w:rPr>
              <w:t xml:space="preserve">  2025</w:t>
            </w:r>
          </w:p>
        </w:tc>
        <w:tc>
          <w:tcPr>
            <w:tcW w:w="1257" w:type="dxa"/>
          </w:tcPr>
          <w:p w:rsidR="003E41B6" w:rsidRPr="002F010C" w:rsidRDefault="003E41B6" w:rsidP="00D0545F">
            <w:pPr>
              <w:widowControl w:val="0"/>
              <w:rPr>
                <w:b/>
                <w:bCs/>
                <w:sz w:val="20"/>
                <w:szCs w:val="20"/>
              </w:rPr>
            </w:pPr>
            <w:r w:rsidRPr="002F010C">
              <w:rPr>
                <w:b/>
                <w:bCs/>
                <w:sz w:val="20"/>
                <w:szCs w:val="20"/>
              </w:rPr>
              <w:t>Moderate</w:t>
            </w:r>
          </w:p>
        </w:tc>
        <w:tc>
          <w:tcPr>
            <w:tcW w:w="1175" w:type="dxa"/>
          </w:tcPr>
          <w:p w:rsidR="003E41B6" w:rsidRPr="002F010C" w:rsidRDefault="003E41B6" w:rsidP="00D0545F">
            <w:pPr>
              <w:widowControl w:val="0"/>
              <w:rPr>
                <w:b/>
                <w:bCs/>
                <w:sz w:val="20"/>
                <w:szCs w:val="20"/>
              </w:rPr>
            </w:pPr>
            <w:r w:rsidRPr="002F010C">
              <w:rPr>
                <w:b/>
                <w:bCs/>
                <w:sz w:val="20"/>
                <w:szCs w:val="20"/>
              </w:rPr>
              <w:t>Low</w:t>
            </w:r>
          </w:p>
        </w:tc>
        <w:tc>
          <w:tcPr>
            <w:tcW w:w="1288" w:type="dxa"/>
          </w:tcPr>
          <w:p w:rsidR="003E41B6" w:rsidRPr="002F010C" w:rsidRDefault="003E41B6" w:rsidP="00D0545F">
            <w:pPr>
              <w:widowControl w:val="0"/>
              <w:rPr>
                <w:b/>
                <w:bCs/>
                <w:sz w:val="20"/>
                <w:szCs w:val="20"/>
              </w:rPr>
            </w:pPr>
            <w:r w:rsidRPr="002F010C">
              <w:rPr>
                <w:b/>
                <w:bCs/>
                <w:sz w:val="20"/>
                <w:szCs w:val="20"/>
              </w:rPr>
              <w:t>Low</w:t>
            </w:r>
          </w:p>
        </w:tc>
        <w:tc>
          <w:tcPr>
            <w:tcW w:w="1354" w:type="dxa"/>
          </w:tcPr>
          <w:p w:rsidR="003E41B6" w:rsidRPr="002F010C" w:rsidRDefault="003E41B6" w:rsidP="00D0545F">
            <w:pPr>
              <w:widowControl w:val="0"/>
              <w:rPr>
                <w:b/>
                <w:bCs/>
                <w:sz w:val="20"/>
                <w:szCs w:val="20"/>
              </w:rPr>
            </w:pPr>
            <w:r w:rsidRPr="002F010C">
              <w:rPr>
                <w:b/>
                <w:bCs/>
                <w:sz w:val="20"/>
                <w:szCs w:val="20"/>
              </w:rPr>
              <w:t>Moderate</w:t>
            </w:r>
          </w:p>
        </w:tc>
        <w:tc>
          <w:tcPr>
            <w:tcW w:w="850" w:type="dxa"/>
          </w:tcPr>
          <w:p w:rsidR="003E41B6" w:rsidRPr="002F010C" w:rsidRDefault="003E41B6" w:rsidP="00D0545F">
            <w:pPr>
              <w:widowControl w:val="0"/>
              <w:rPr>
                <w:b/>
                <w:bCs/>
                <w:sz w:val="20"/>
                <w:szCs w:val="20"/>
              </w:rPr>
            </w:pPr>
            <w:r w:rsidRPr="002F010C">
              <w:rPr>
                <w:b/>
                <w:bCs/>
                <w:sz w:val="20"/>
                <w:szCs w:val="20"/>
              </w:rPr>
              <w:t>Low</w:t>
            </w:r>
          </w:p>
        </w:tc>
        <w:tc>
          <w:tcPr>
            <w:tcW w:w="1196" w:type="dxa"/>
          </w:tcPr>
          <w:p w:rsidR="003E41B6" w:rsidRPr="002F010C" w:rsidRDefault="003E41B6" w:rsidP="00D0545F">
            <w:pPr>
              <w:widowControl w:val="0"/>
              <w:rPr>
                <w:b/>
                <w:bCs/>
                <w:sz w:val="20"/>
                <w:szCs w:val="20"/>
              </w:rPr>
            </w:pPr>
            <w:r w:rsidRPr="002F010C">
              <w:rPr>
                <w:b/>
                <w:bCs/>
                <w:sz w:val="20"/>
                <w:szCs w:val="20"/>
              </w:rPr>
              <w:t>Low</w:t>
            </w:r>
          </w:p>
        </w:tc>
        <w:tc>
          <w:tcPr>
            <w:tcW w:w="927" w:type="dxa"/>
          </w:tcPr>
          <w:p w:rsidR="003E41B6" w:rsidRDefault="003E41B6" w:rsidP="00D0545F">
            <w:pPr>
              <w:widowControl w:val="0"/>
              <w:rPr>
                <w:b/>
                <w:bCs/>
                <w:sz w:val="20"/>
                <w:szCs w:val="20"/>
              </w:rPr>
            </w:pPr>
            <w:r w:rsidRPr="002F010C">
              <w:rPr>
                <w:b/>
                <w:bCs/>
                <w:sz w:val="20"/>
                <w:szCs w:val="20"/>
              </w:rPr>
              <w:t>Low</w:t>
            </w:r>
          </w:p>
        </w:tc>
        <w:tc>
          <w:tcPr>
            <w:tcW w:w="1050" w:type="dxa"/>
          </w:tcPr>
          <w:p w:rsidR="003E41B6" w:rsidRPr="002F010C" w:rsidRDefault="003E41B6" w:rsidP="00D0545F">
            <w:pPr>
              <w:widowControl w:val="0"/>
              <w:rPr>
                <w:b/>
                <w:bCs/>
                <w:sz w:val="20"/>
                <w:szCs w:val="20"/>
              </w:rPr>
            </w:pPr>
            <w:r w:rsidRPr="002F010C">
              <w:rPr>
                <w:b/>
                <w:bCs/>
                <w:sz w:val="20"/>
                <w:szCs w:val="20"/>
              </w:rPr>
              <w:t>Moderate</w:t>
            </w:r>
          </w:p>
        </w:tc>
      </w:tr>
    </w:tbl>
    <w:p w:rsidR="003E41B6" w:rsidRDefault="003E41B6" w:rsidP="003E41B6">
      <w:pPr>
        <w:widowControl w:val="0"/>
      </w:pPr>
    </w:p>
    <w:p w:rsidR="003E41B6" w:rsidRDefault="003E41B6" w:rsidP="003E41B6"/>
    <w:p w:rsidR="003E41B6" w:rsidRDefault="003E41B6" w:rsidP="003E41B6"/>
    <w:p w:rsidR="003E41B6" w:rsidRPr="001D54AE" w:rsidRDefault="003E41B6" w:rsidP="003E41B6">
      <w:pPr>
        <w:rPr>
          <w:b/>
          <w:bCs/>
        </w:rPr>
      </w:pPr>
      <w:r w:rsidRPr="001D54AE">
        <w:rPr>
          <w:b/>
          <w:bCs/>
        </w:rPr>
        <w:t>ROBINS-I Assessment for Huang et al. (2021)</w:t>
      </w:r>
    </w:p>
    <w:p w:rsidR="003E41B6" w:rsidRPr="001D54AE" w:rsidRDefault="003E41B6" w:rsidP="003E41B6">
      <w:pPr>
        <w:rPr>
          <w:b/>
          <w:bCs/>
        </w:rPr>
      </w:pPr>
      <w:r w:rsidRPr="001D54AE">
        <w:rPr>
          <w:b/>
          <w:bCs/>
        </w:rPr>
        <w:t>1. Bias due to confounding</w:t>
      </w:r>
    </w:p>
    <w:p w:rsidR="003E41B6" w:rsidRPr="001D54AE" w:rsidRDefault="003E41B6" w:rsidP="003E41B6">
      <w:pPr>
        <w:widowControl w:val="0"/>
        <w:numPr>
          <w:ilvl w:val="0"/>
          <w:numId w:val="1"/>
        </w:numPr>
        <w:spacing w:after="160" w:line="278" w:lineRule="auto"/>
      </w:pPr>
      <w:r w:rsidRPr="001D54AE">
        <w:rPr>
          <w:b/>
          <w:bCs/>
        </w:rPr>
        <w:t>Rating: Serious risk</w:t>
      </w:r>
    </w:p>
    <w:p w:rsidR="003E41B6" w:rsidRPr="001D54AE" w:rsidRDefault="003E41B6" w:rsidP="003E41B6">
      <w:pPr>
        <w:widowControl w:val="0"/>
        <w:numPr>
          <w:ilvl w:val="0"/>
          <w:numId w:val="1"/>
        </w:numPr>
        <w:spacing w:after="160" w:line="278" w:lineRule="auto"/>
      </w:pPr>
      <w:r w:rsidRPr="001D54AE">
        <w:rPr>
          <w:b/>
          <w:bCs/>
        </w:rPr>
        <w:t>Rationale</w:t>
      </w:r>
      <w:r w:rsidRPr="001D54AE">
        <w:t xml:space="preserve">: This was a retrospective study where "physicians prescribed the drug based on their clinical judgment." Significant baseline differences exist, including age (p=0.025), tumor site distribution (p=0.0052), and ECOG performance status (p=0.0378). The </w:t>
      </w:r>
      <w:r>
        <w:t>UFT</w:t>
      </w:r>
      <w:r w:rsidRPr="001D54AE">
        <w:t xml:space="preserve"> group had better performance status with 92% having ECOG 0-1 vs. 66.66% in the control group, which is an important prognostic factor that likely influenced outcomes independently of treatment.</w:t>
      </w:r>
    </w:p>
    <w:p w:rsidR="003E41B6" w:rsidRPr="001D54AE" w:rsidRDefault="003E41B6" w:rsidP="003E41B6">
      <w:pPr>
        <w:rPr>
          <w:b/>
          <w:bCs/>
        </w:rPr>
      </w:pPr>
      <w:r w:rsidRPr="001D54AE">
        <w:rPr>
          <w:b/>
          <w:bCs/>
        </w:rPr>
        <w:t>2. Bias in selection of participants</w:t>
      </w:r>
    </w:p>
    <w:p w:rsidR="003E41B6" w:rsidRPr="001D54AE" w:rsidRDefault="003E41B6" w:rsidP="003E41B6">
      <w:pPr>
        <w:widowControl w:val="0"/>
        <w:numPr>
          <w:ilvl w:val="0"/>
          <w:numId w:val="2"/>
        </w:numPr>
        <w:spacing w:after="160" w:line="278" w:lineRule="auto"/>
      </w:pPr>
      <w:r w:rsidRPr="001D54AE">
        <w:rPr>
          <w:b/>
          <w:bCs/>
        </w:rPr>
        <w:t>Rating: Moderate risk</w:t>
      </w:r>
    </w:p>
    <w:p w:rsidR="003E41B6" w:rsidRPr="001D54AE" w:rsidRDefault="003E41B6" w:rsidP="003E41B6">
      <w:pPr>
        <w:widowControl w:val="0"/>
        <w:numPr>
          <w:ilvl w:val="0"/>
          <w:numId w:val="2"/>
        </w:numPr>
        <w:spacing w:after="160" w:line="278" w:lineRule="auto"/>
      </w:pPr>
      <w:r w:rsidRPr="001D54AE">
        <w:rPr>
          <w:b/>
          <w:bCs/>
        </w:rPr>
        <w:t>Rationale</w:t>
      </w:r>
      <w:r w:rsidRPr="001D54AE">
        <w:t xml:space="preserve">: Patients were selected from a database with clear inclusion criteria. However, selection for </w:t>
      </w:r>
      <w:r>
        <w:t>UFT</w:t>
      </w:r>
      <w:r w:rsidRPr="001D54AE">
        <w:t xml:space="preserve"> treatment was based on physician discretion rather than </w:t>
      </w:r>
      <w:r w:rsidRPr="001D54AE">
        <w:lastRenderedPageBreak/>
        <w:t xml:space="preserve">randomization, potentially creating selection bias favoring healthier patients for </w:t>
      </w:r>
      <w:r>
        <w:t>UFT</w:t>
      </w:r>
      <w:r w:rsidRPr="001D54AE">
        <w:t xml:space="preserve"> treatment.</w:t>
      </w:r>
    </w:p>
    <w:p w:rsidR="003E41B6" w:rsidRPr="001D54AE" w:rsidRDefault="003E41B6" w:rsidP="003E41B6">
      <w:pPr>
        <w:rPr>
          <w:b/>
          <w:bCs/>
        </w:rPr>
      </w:pPr>
      <w:r w:rsidRPr="001D54AE">
        <w:rPr>
          <w:b/>
          <w:bCs/>
        </w:rPr>
        <w:t>3. Bias in classification of interventions</w:t>
      </w:r>
    </w:p>
    <w:p w:rsidR="003E41B6" w:rsidRPr="001D54AE" w:rsidRDefault="003E41B6" w:rsidP="003E41B6">
      <w:pPr>
        <w:widowControl w:val="0"/>
        <w:numPr>
          <w:ilvl w:val="0"/>
          <w:numId w:val="3"/>
        </w:numPr>
        <w:spacing w:after="160" w:line="278" w:lineRule="auto"/>
      </w:pPr>
      <w:r w:rsidRPr="001D54AE">
        <w:rPr>
          <w:b/>
          <w:bCs/>
        </w:rPr>
        <w:t>Rating: Low risk</w:t>
      </w:r>
    </w:p>
    <w:p w:rsidR="003E41B6" w:rsidRPr="001D54AE" w:rsidRDefault="003E41B6" w:rsidP="003E41B6">
      <w:pPr>
        <w:widowControl w:val="0"/>
        <w:numPr>
          <w:ilvl w:val="0"/>
          <w:numId w:val="3"/>
        </w:numPr>
        <w:spacing w:after="160" w:line="278" w:lineRule="auto"/>
      </w:pPr>
      <w:r w:rsidRPr="001D54AE">
        <w:rPr>
          <w:b/>
          <w:bCs/>
        </w:rPr>
        <w:t>Rationale</w:t>
      </w:r>
      <w:r w:rsidRPr="001D54AE">
        <w:t>: The intervention was clearly defined (</w:t>
      </w:r>
      <w:r>
        <w:t>UFT</w:t>
      </w:r>
      <w:r w:rsidRPr="001D54AE">
        <w:t xml:space="preserve"> 400mg daily divided into two doses, 7 days a week for 1 year), and the comparison groups were clearly distinguished.</w:t>
      </w:r>
    </w:p>
    <w:p w:rsidR="003E41B6" w:rsidRPr="001D54AE" w:rsidRDefault="003E41B6" w:rsidP="003E41B6">
      <w:pPr>
        <w:rPr>
          <w:b/>
          <w:bCs/>
        </w:rPr>
      </w:pPr>
      <w:r w:rsidRPr="001D54AE">
        <w:rPr>
          <w:b/>
          <w:bCs/>
        </w:rPr>
        <w:t>4. Bias due to deviations from intended interventions</w:t>
      </w:r>
    </w:p>
    <w:p w:rsidR="003E41B6" w:rsidRPr="001D54AE" w:rsidRDefault="003E41B6" w:rsidP="003E41B6">
      <w:pPr>
        <w:widowControl w:val="0"/>
        <w:numPr>
          <w:ilvl w:val="0"/>
          <w:numId w:val="4"/>
        </w:numPr>
        <w:spacing w:after="160" w:line="278" w:lineRule="auto"/>
      </w:pPr>
      <w:r w:rsidRPr="001D54AE">
        <w:rPr>
          <w:b/>
          <w:bCs/>
        </w:rPr>
        <w:t xml:space="preserve">Rating: </w:t>
      </w:r>
      <w:r>
        <w:rPr>
          <w:rFonts w:hint="eastAsia"/>
          <w:b/>
          <w:bCs/>
        </w:rPr>
        <w:t>M</w:t>
      </w:r>
      <w:r w:rsidRPr="001D54AE">
        <w:rPr>
          <w:b/>
          <w:bCs/>
        </w:rPr>
        <w:t>oderate risk</w:t>
      </w:r>
    </w:p>
    <w:p w:rsidR="003E41B6" w:rsidRPr="001D54AE" w:rsidRDefault="003E41B6" w:rsidP="003E41B6">
      <w:pPr>
        <w:widowControl w:val="0"/>
        <w:numPr>
          <w:ilvl w:val="0"/>
          <w:numId w:val="4"/>
        </w:numPr>
        <w:spacing w:after="160" w:line="278" w:lineRule="auto"/>
      </w:pPr>
      <w:r w:rsidRPr="001D54AE">
        <w:rPr>
          <w:b/>
          <w:bCs/>
        </w:rPr>
        <w:t>Rationale</w:t>
      </w:r>
      <w:r w:rsidRPr="001D54AE">
        <w:t>: Four patients dropped out due to treatment-related side effects, which could affect the efficacy assessment. However, this is a relatively small number compared to the overall sample size.</w:t>
      </w:r>
    </w:p>
    <w:p w:rsidR="003E41B6" w:rsidRPr="001D54AE" w:rsidRDefault="003E41B6" w:rsidP="003E41B6">
      <w:pPr>
        <w:rPr>
          <w:b/>
          <w:bCs/>
        </w:rPr>
      </w:pPr>
      <w:r w:rsidRPr="001D54AE">
        <w:rPr>
          <w:b/>
          <w:bCs/>
        </w:rPr>
        <w:t>5. Bias due to missing data</w:t>
      </w:r>
    </w:p>
    <w:p w:rsidR="003E41B6" w:rsidRPr="001D54AE" w:rsidRDefault="003E41B6" w:rsidP="003E41B6">
      <w:pPr>
        <w:widowControl w:val="0"/>
        <w:numPr>
          <w:ilvl w:val="0"/>
          <w:numId w:val="5"/>
        </w:numPr>
        <w:spacing w:after="160" w:line="278" w:lineRule="auto"/>
      </w:pPr>
      <w:r w:rsidRPr="001D54AE">
        <w:rPr>
          <w:b/>
          <w:bCs/>
        </w:rPr>
        <w:t>Rating: Low risk</w:t>
      </w:r>
    </w:p>
    <w:p w:rsidR="003E41B6" w:rsidRPr="001D54AE" w:rsidRDefault="003E41B6" w:rsidP="003E41B6">
      <w:pPr>
        <w:widowControl w:val="0"/>
        <w:numPr>
          <w:ilvl w:val="0"/>
          <w:numId w:val="5"/>
        </w:numPr>
        <w:spacing w:after="160" w:line="278" w:lineRule="auto"/>
      </w:pPr>
      <w:r w:rsidRPr="001D54AE">
        <w:rPr>
          <w:b/>
          <w:bCs/>
        </w:rPr>
        <w:t>Rationale</w:t>
      </w:r>
      <w:r w:rsidRPr="001D54AE">
        <w:t>: The study appears to have complete follow-up data for all included patients. The median follow-up duration was 76 months, which is adequate for assessing both short and long-term outcomes.</w:t>
      </w:r>
    </w:p>
    <w:p w:rsidR="003E41B6" w:rsidRPr="001D54AE" w:rsidRDefault="003E41B6" w:rsidP="003E41B6">
      <w:pPr>
        <w:rPr>
          <w:b/>
          <w:bCs/>
        </w:rPr>
      </w:pPr>
      <w:r w:rsidRPr="001D54AE">
        <w:rPr>
          <w:b/>
          <w:bCs/>
        </w:rPr>
        <w:t>6. Bias in measurement of outcomes</w:t>
      </w:r>
    </w:p>
    <w:p w:rsidR="003E41B6" w:rsidRPr="001D54AE" w:rsidRDefault="003E41B6" w:rsidP="003E41B6">
      <w:pPr>
        <w:widowControl w:val="0"/>
        <w:numPr>
          <w:ilvl w:val="0"/>
          <w:numId w:val="6"/>
        </w:numPr>
        <w:spacing w:after="160" w:line="278" w:lineRule="auto"/>
      </w:pPr>
      <w:r w:rsidRPr="001D54AE">
        <w:rPr>
          <w:b/>
          <w:bCs/>
        </w:rPr>
        <w:t>Rating: Low risk</w:t>
      </w:r>
    </w:p>
    <w:p w:rsidR="003E41B6" w:rsidRPr="001D54AE" w:rsidRDefault="003E41B6" w:rsidP="003E41B6">
      <w:pPr>
        <w:widowControl w:val="0"/>
        <w:numPr>
          <w:ilvl w:val="0"/>
          <w:numId w:val="6"/>
        </w:numPr>
        <w:spacing w:after="160" w:line="278" w:lineRule="auto"/>
      </w:pPr>
      <w:r w:rsidRPr="001D54AE">
        <w:rPr>
          <w:b/>
          <w:bCs/>
        </w:rPr>
        <w:t>Rationale</w:t>
      </w:r>
      <w:r w:rsidRPr="001D54AE">
        <w:t>: The outcomes (OS, DFS, DMFS) are objective measures not likely subject to detection bias. Follow-up protocols were the same for both groups with standardized imaging at regular intervals.</w:t>
      </w:r>
    </w:p>
    <w:p w:rsidR="003E41B6" w:rsidRPr="001D54AE" w:rsidRDefault="003E41B6" w:rsidP="003E41B6">
      <w:pPr>
        <w:rPr>
          <w:b/>
          <w:bCs/>
        </w:rPr>
      </w:pPr>
      <w:r w:rsidRPr="001D54AE">
        <w:rPr>
          <w:b/>
          <w:bCs/>
        </w:rPr>
        <w:t>7. Bias in selection of the reported result</w:t>
      </w:r>
    </w:p>
    <w:p w:rsidR="003E41B6" w:rsidRPr="001D54AE" w:rsidRDefault="003E41B6" w:rsidP="003E41B6">
      <w:pPr>
        <w:widowControl w:val="0"/>
        <w:numPr>
          <w:ilvl w:val="0"/>
          <w:numId w:val="7"/>
        </w:numPr>
        <w:spacing w:after="160" w:line="278" w:lineRule="auto"/>
      </w:pPr>
      <w:r w:rsidRPr="001D54AE">
        <w:rPr>
          <w:b/>
          <w:bCs/>
        </w:rPr>
        <w:t>Rating: Low risk</w:t>
      </w:r>
    </w:p>
    <w:p w:rsidR="003E41B6" w:rsidRPr="001D54AE" w:rsidRDefault="003E41B6" w:rsidP="003E41B6">
      <w:pPr>
        <w:widowControl w:val="0"/>
        <w:numPr>
          <w:ilvl w:val="0"/>
          <w:numId w:val="7"/>
        </w:numPr>
        <w:spacing w:after="160" w:line="278" w:lineRule="auto"/>
      </w:pPr>
      <w:r w:rsidRPr="001D54AE">
        <w:rPr>
          <w:b/>
          <w:bCs/>
        </w:rPr>
        <w:t>Rationale</w:t>
      </w:r>
      <w:r w:rsidRPr="001D54AE">
        <w:t>: The study reported all primary outcomes as stated in the methods section. Both 3-year and 5-year survival rates were presented, and multivariate analyses accounted for potential confounders.</w:t>
      </w:r>
    </w:p>
    <w:p w:rsidR="003E41B6" w:rsidRPr="001D54AE" w:rsidRDefault="003E41B6" w:rsidP="003E41B6">
      <w:pPr>
        <w:rPr>
          <w:b/>
          <w:bCs/>
        </w:rPr>
      </w:pPr>
      <w:r w:rsidRPr="001D54AE">
        <w:rPr>
          <w:b/>
          <w:bCs/>
        </w:rPr>
        <w:t>Overall assessment:</w:t>
      </w:r>
    </w:p>
    <w:p w:rsidR="003E41B6" w:rsidRPr="001D54AE" w:rsidRDefault="003E41B6" w:rsidP="003E41B6">
      <w:r w:rsidRPr="001D54AE">
        <w:rPr>
          <w:b/>
          <w:bCs/>
        </w:rPr>
        <w:t>Overall risk of bias: Serious risk</w:t>
      </w:r>
    </w:p>
    <w:p w:rsidR="003E41B6" w:rsidRDefault="003E41B6" w:rsidP="003E41B6">
      <w:r w:rsidRPr="001D54AE">
        <w:t xml:space="preserve">The main limitation is the non-randomized design with clear baseline differences between groups, particularly in ECOG performance status, which is a strong prognostic factor. Patients in the </w:t>
      </w:r>
      <w:r>
        <w:t>UFT</w:t>
      </w:r>
      <w:r w:rsidRPr="001D54AE">
        <w:t xml:space="preserve"> group were younger and had better performance status, which likely contributed to </w:t>
      </w:r>
      <w:r w:rsidRPr="001D54AE">
        <w:lastRenderedPageBreak/>
        <w:t>their better outcomes independently of the intervention. While multivariate analysis attempted to adjust for confounders, unmeasured factors likely influenced both treatment selection and outcomes. The authors acknowledge that "the strength of evidence and statistical methods in retrospective studies are lower than those in prospectively randomized trials" and suggest that prospective studies are needed to confirm their findings.</w:t>
      </w:r>
    </w:p>
    <w:p w:rsidR="003E41B6" w:rsidRDefault="003E41B6" w:rsidP="003E41B6"/>
    <w:p w:rsidR="003E41B6" w:rsidRPr="009F1C77" w:rsidRDefault="003E41B6" w:rsidP="003E41B6">
      <w:pPr>
        <w:rPr>
          <w:b/>
          <w:bCs/>
        </w:rPr>
      </w:pPr>
      <w:r w:rsidRPr="009F1C77">
        <w:rPr>
          <w:b/>
          <w:bCs/>
        </w:rPr>
        <w:t>ROBINS-I Assessment for Huang et al. (2022)</w:t>
      </w:r>
    </w:p>
    <w:p w:rsidR="003E41B6" w:rsidRPr="009F1C77" w:rsidRDefault="003E41B6" w:rsidP="003E41B6">
      <w:pPr>
        <w:rPr>
          <w:b/>
          <w:bCs/>
        </w:rPr>
      </w:pPr>
      <w:r w:rsidRPr="009F1C77">
        <w:rPr>
          <w:b/>
          <w:bCs/>
        </w:rPr>
        <w:t>1. Bias due to confounding</w:t>
      </w:r>
    </w:p>
    <w:p w:rsidR="003E41B6" w:rsidRPr="009F1C77" w:rsidRDefault="003E41B6" w:rsidP="003E41B6">
      <w:pPr>
        <w:widowControl w:val="0"/>
        <w:numPr>
          <w:ilvl w:val="0"/>
          <w:numId w:val="8"/>
        </w:numPr>
        <w:spacing w:after="160" w:line="278" w:lineRule="auto"/>
      </w:pPr>
      <w:r w:rsidRPr="009F1C77">
        <w:rPr>
          <w:b/>
          <w:bCs/>
        </w:rPr>
        <w:t>Rating: Moderate risk</w:t>
      </w:r>
    </w:p>
    <w:p w:rsidR="003E41B6" w:rsidRPr="009F1C77" w:rsidRDefault="003E41B6" w:rsidP="003E41B6">
      <w:pPr>
        <w:widowControl w:val="0"/>
        <w:numPr>
          <w:ilvl w:val="0"/>
          <w:numId w:val="8"/>
        </w:numPr>
        <w:spacing w:after="160" w:line="278" w:lineRule="auto"/>
      </w:pPr>
      <w:r w:rsidRPr="009F1C77">
        <w:rPr>
          <w:b/>
          <w:bCs/>
        </w:rPr>
        <w:t>Rationale</w:t>
      </w:r>
      <w:r w:rsidRPr="009F1C77">
        <w:t>: This was a retrospective comparison between a phase II trial cohort (UFTm) and a non-trial cohort (non-UFTm). While most baseline characteristics were balanced, there were some differences: median number of SCC-involved LNs was higher in non-UFTm (4.0 vs. 2.5, p=0.038) and a trend toward longer radiotherapy duration in non-UFTm (54.6 vs. 50.5 days, p=0.061). Multivariate analysis was conducted to adjust for these potential confounders.</w:t>
      </w:r>
    </w:p>
    <w:p w:rsidR="003E41B6" w:rsidRPr="009F1C77" w:rsidRDefault="003E41B6" w:rsidP="003E41B6">
      <w:pPr>
        <w:rPr>
          <w:b/>
          <w:bCs/>
        </w:rPr>
      </w:pPr>
      <w:r w:rsidRPr="009F1C77">
        <w:rPr>
          <w:b/>
          <w:bCs/>
        </w:rPr>
        <w:t>2. Bias in selection of participants</w:t>
      </w:r>
    </w:p>
    <w:p w:rsidR="003E41B6" w:rsidRPr="009F1C77" w:rsidRDefault="003E41B6" w:rsidP="003E41B6">
      <w:pPr>
        <w:widowControl w:val="0"/>
        <w:numPr>
          <w:ilvl w:val="0"/>
          <w:numId w:val="9"/>
        </w:numPr>
        <w:spacing w:after="160" w:line="278" w:lineRule="auto"/>
      </w:pPr>
      <w:r w:rsidRPr="009F1C77">
        <w:rPr>
          <w:b/>
          <w:bCs/>
        </w:rPr>
        <w:t>Rating: Moderate risk</w:t>
      </w:r>
    </w:p>
    <w:p w:rsidR="003E41B6" w:rsidRPr="009F1C77" w:rsidRDefault="003E41B6" w:rsidP="003E41B6">
      <w:pPr>
        <w:widowControl w:val="0"/>
        <w:numPr>
          <w:ilvl w:val="0"/>
          <w:numId w:val="9"/>
        </w:numPr>
        <w:spacing w:after="160" w:line="278" w:lineRule="auto"/>
      </w:pPr>
      <w:r w:rsidRPr="009F1C77">
        <w:rPr>
          <w:b/>
          <w:bCs/>
        </w:rPr>
        <w:t>Rationale</w:t>
      </w:r>
      <w:r w:rsidRPr="009F1C77">
        <w:t>: Only patients who completed CCRT without early relapse (within 2 months) were included, which may have selected for better prognosis patients in both groups. The non-UFTm cohort consisted of patients who met trial eligibility but didn't participate, potentially introducing selection bias. Some selection reasons (patient/physician discretion) were not fully explained.</w:t>
      </w:r>
    </w:p>
    <w:p w:rsidR="003E41B6" w:rsidRPr="009F1C77" w:rsidRDefault="003E41B6" w:rsidP="003E41B6">
      <w:pPr>
        <w:rPr>
          <w:b/>
          <w:bCs/>
        </w:rPr>
      </w:pPr>
      <w:r w:rsidRPr="009F1C77">
        <w:rPr>
          <w:b/>
          <w:bCs/>
        </w:rPr>
        <w:t>3. Bias in classification of interventions</w:t>
      </w:r>
    </w:p>
    <w:p w:rsidR="003E41B6" w:rsidRPr="009F1C77" w:rsidRDefault="003E41B6" w:rsidP="003E41B6">
      <w:pPr>
        <w:widowControl w:val="0"/>
        <w:numPr>
          <w:ilvl w:val="0"/>
          <w:numId w:val="10"/>
        </w:numPr>
        <w:spacing w:after="160" w:line="278" w:lineRule="auto"/>
      </w:pPr>
      <w:r w:rsidRPr="009F1C77">
        <w:rPr>
          <w:b/>
          <w:bCs/>
        </w:rPr>
        <w:t>Rating: Low risk</w:t>
      </w:r>
    </w:p>
    <w:p w:rsidR="003E41B6" w:rsidRPr="009F1C77" w:rsidRDefault="003E41B6" w:rsidP="003E41B6">
      <w:pPr>
        <w:widowControl w:val="0"/>
        <w:numPr>
          <w:ilvl w:val="0"/>
          <w:numId w:val="10"/>
        </w:numPr>
        <w:spacing w:after="160" w:line="278" w:lineRule="auto"/>
      </w:pPr>
      <w:r w:rsidRPr="009F1C77">
        <w:rPr>
          <w:b/>
          <w:bCs/>
        </w:rPr>
        <w:t>Rationale</w:t>
      </w:r>
      <w:r w:rsidRPr="009F1C77">
        <w:t>: The intervention (UFTm) was clearly defined as UFT 300-400 mg/day based on BSA for 1 year after CCRT. The treatment protocol and dosing were well-described.</w:t>
      </w:r>
    </w:p>
    <w:p w:rsidR="003E41B6" w:rsidRPr="009F1C77" w:rsidRDefault="003E41B6" w:rsidP="003E41B6">
      <w:pPr>
        <w:rPr>
          <w:b/>
          <w:bCs/>
        </w:rPr>
      </w:pPr>
      <w:r w:rsidRPr="009F1C77">
        <w:rPr>
          <w:b/>
          <w:bCs/>
        </w:rPr>
        <w:t>4. Bias due to deviations from intended interventions</w:t>
      </w:r>
    </w:p>
    <w:p w:rsidR="003E41B6" w:rsidRPr="009F1C77" w:rsidRDefault="003E41B6" w:rsidP="003E41B6">
      <w:pPr>
        <w:widowControl w:val="0"/>
        <w:numPr>
          <w:ilvl w:val="0"/>
          <w:numId w:val="11"/>
        </w:numPr>
        <w:spacing w:after="160" w:line="278" w:lineRule="auto"/>
      </w:pPr>
      <w:r w:rsidRPr="009F1C77">
        <w:rPr>
          <w:b/>
          <w:bCs/>
        </w:rPr>
        <w:t>Rating: Moderate risk</w:t>
      </w:r>
    </w:p>
    <w:p w:rsidR="003E41B6" w:rsidRPr="009F1C77" w:rsidRDefault="003E41B6" w:rsidP="003E41B6">
      <w:pPr>
        <w:widowControl w:val="0"/>
        <w:numPr>
          <w:ilvl w:val="0"/>
          <w:numId w:val="11"/>
        </w:numPr>
        <w:spacing w:after="160" w:line="278" w:lineRule="auto"/>
      </w:pPr>
      <w:r w:rsidRPr="009F1C77">
        <w:rPr>
          <w:b/>
          <w:bCs/>
        </w:rPr>
        <w:t>Rationale</w:t>
      </w:r>
      <w:r w:rsidRPr="009F1C77">
        <w:t>: Only 62.5% of patients completed the full UFTm course, with the remaining terminating early due to disease relapse (21.8%), poor compliance (14.1%), or adverse events (1.6%). This substantial non-completion rate may affect the assessment of the true intervention effect.</w:t>
      </w:r>
    </w:p>
    <w:p w:rsidR="003E41B6" w:rsidRPr="009F1C77" w:rsidRDefault="003E41B6" w:rsidP="003E41B6">
      <w:pPr>
        <w:rPr>
          <w:b/>
          <w:bCs/>
        </w:rPr>
      </w:pPr>
      <w:r w:rsidRPr="009F1C77">
        <w:rPr>
          <w:b/>
          <w:bCs/>
        </w:rPr>
        <w:t>5. Bias due to missing data</w:t>
      </w:r>
    </w:p>
    <w:p w:rsidR="003E41B6" w:rsidRPr="009F1C77" w:rsidRDefault="003E41B6" w:rsidP="003E41B6">
      <w:pPr>
        <w:widowControl w:val="0"/>
        <w:numPr>
          <w:ilvl w:val="0"/>
          <w:numId w:val="12"/>
        </w:numPr>
        <w:spacing w:after="160" w:line="278" w:lineRule="auto"/>
      </w:pPr>
      <w:r w:rsidRPr="009F1C77">
        <w:rPr>
          <w:b/>
          <w:bCs/>
        </w:rPr>
        <w:lastRenderedPageBreak/>
        <w:t>Rating: Low risk</w:t>
      </w:r>
    </w:p>
    <w:p w:rsidR="003E41B6" w:rsidRPr="009F1C77" w:rsidRDefault="003E41B6" w:rsidP="003E41B6">
      <w:pPr>
        <w:widowControl w:val="0"/>
        <w:numPr>
          <w:ilvl w:val="0"/>
          <w:numId w:val="12"/>
        </w:numPr>
        <w:spacing w:after="160" w:line="278" w:lineRule="auto"/>
      </w:pPr>
      <w:r w:rsidRPr="009F1C77">
        <w:rPr>
          <w:b/>
          <w:bCs/>
        </w:rPr>
        <w:t>Rationale</w:t>
      </w:r>
      <w:r w:rsidRPr="009F1C77">
        <w:t>: The study appears to have complete outcome data for all included patients. The median follow-up of 43 months was adequate for assessing outcomes, and no significant missing data issues were reported.</w:t>
      </w:r>
    </w:p>
    <w:p w:rsidR="003E41B6" w:rsidRPr="009F1C77" w:rsidRDefault="003E41B6" w:rsidP="003E41B6">
      <w:pPr>
        <w:rPr>
          <w:b/>
          <w:bCs/>
        </w:rPr>
      </w:pPr>
      <w:r w:rsidRPr="009F1C77">
        <w:rPr>
          <w:b/>
          <w:bCs/>
        </w:rPr>
        <w:t>6. Bias in measurement of outcomes</w:t>
      </w:r>
    </w:p>
    <w:p w:rsidR="003E41B6" w:rsidRPr="009F1C77" w:rsidRDefault="003E41B6" w:rsidP="003E41B6">
      <w:pPr>
        <w:widowControl w:val="0"/>
        <w:numPr>
          <w:ilvl w:val="0"/>
          <w:numId w:val="13"/>
        </w:numPr>
        <w:spacing w:after="160" w:line="278" w:lineRule="auto"/>
      </w:pPr>
      <w:r w:rsidRPr="009F1C77">
        <w:rPr>
          <w:b/>
          <w:bCs/>
        </w:rPr>
        <w:t>Rating: Low risk</w:t>
      </w:r>
    </w:p>
    <w:p w:rsidR="003E41B6" w:rsidRPr="009F1C77" w:rsidRDefault="003E41B6" w:rsidP="003E41B6">
      <w:pPr>
        <w:widowControl w:val="0"/>
        <w:numPr>
          <w:ilvl w:val="0"/>
          <w:numId w:val="13"/>
        </w:numPr>
        <w:spacing w:after="160" w:line="278" w:lineRule="auto"/>
      </w:pPr>
      <w:r w:rsidRPr="009F1C77">
        <w:rPr>
          <w:b/>
          <w:bCs/>
        </w:rPr>
        <w:t>Rationale</w:t>
      </w:r>
      <w:r w:rsidRPr="009F1C77">
        <w:t>: The outcomes (OS, EFS, LRC, DMF) were objective measures with clear definitions. Follow-up protocols were standardized with regular imaging evaluations. There's no indication that outcome assessment was influenced by knowledge of the intervention.</w:t>
      </w:r>
    </w:p>
    <w:p w:rsidR="003E41B6" w:rsidRPr="009F1C77" w:rsidRDefault="003E41B6" w:rsidP="003E41B6">
      <w:pPr>
        <w:rPr>
          <w:b/>
          <w:bCs/>
        </w:rPr>
      </w:pPr>
      <w:r w:rsidRPr="009F1C77">
        <w:rPr>
          <w:b/>
          <w:bCs/>
        </w:rPr>
        <w:t>7. Bias in selection of the reported result</w:t>
      </w:r>
    </w:p>
    <w:p w:rsidR="003E41B6" w:rsidRPr="009F1C77" w:rsidRDefault="003E41B6" w:rsidP="003E41B6">
      <w:pPr>
        <w:widowControl w:val="0"/>
        <w:numPr>
          <w:ilvl w:val="0"/>
          <w:numId w:val="14"/>
        </w:numPr>
        <w:spacing w:after="160" w:line="278" w:lineRule="auto"/>
      </w:pPr>
      <w:r w:rsidRPr="009F1C77">
        <w:rPr>
          <w:b/>
          <w:bCs/>
        </w:rPr>
        <w:t>Rating: Low risk</w:t>
      </w:r>
    </w:p>
    <w:p w:rsidR="003E41B6" w:rsidRPr="009F1C77" w:rsidRDefault="003E41B6" w:rsidP="003E41B6">
      <w:pPr>
        <w:widowControl w:val="0"/>
        <w:numPr>
          <w:ilvl w:val="0"/>
          <w:numId w:val="14"/>
        </w:numPr>
        <w:spacing w:after="160" w:line="278" w:lineRule="auto"/>
      </w:pPr>
      <w:r w:rsidRPr="009F1C77">
        <w:rPr>
          <w:b/>
          <w:bCs/>
        </w:rPr>
        <w:t>Rationale</w:t>
      </w:r>
      <w:r w:rsidRPr="009F1C77">
        <w:t>: The study reported all primary outcomes as stated in the methods section. Both univariate and multivariate analyses were presented for all outcomes. There's no evidence of selective reporting based on statistical significance.</w:t>
      </w:r>
    </w:p>
    <w:p w:rsidR="003E41B6" w:rsidRPr="009F1C77" w:rsidRDefault="003E41B6" w:rsidP="003E41B6">
      <w:pPr>
        <w:rPr>
          <w:b/>
          <w:bCs/>
        </w:rPr>
      </w:pPr>
      <w:r w:rsidRPr="009F1C77">
        <w:rPr>
          <w:b/>
          <w:bCs/>
        </w:rPr>
        <w:t>Overall assessment:</w:t>
      </w:r>
    </w:p>
    <w:p w:rsidR="003E41B6" w:rsidRPr="009F1C77" w:rsidRDefault="003E41B6" w:rsidP="003E41B6">
      <w:r w:rsidRPr="009F1C77">
        <w:rPr>
          <w:b/>
          <w:bCs/>
        </w:rPr>
        <w:t>Overall risk of bias: Moderate risk</w:t>
      </w:r>
    </w:p>
    <w:p w:rsidR="003E41B6" w:rsidRPr="009F1C77" w:rsidRDefault="003E41B6" w:rsidP="003E41B6">
      <w:r w:rsidRPr="009F1C77">
        <w:t>The main limitations are the non-randomized design, potential selection bias in the non-UFTm group, and the high rate of incomplete UFTm treatment. However, the study's strengths include balanced baseline characteristics, appropriate multivariate analyses to adjust for potential confounders, standardized outcome assessment, and transparent reporting of results.</w:t>
      </w:r>
    </w:p>
    <w:p w:rsidR="003E41B6" w:rsidRDefault="003E41B6" w:rsidP="003E41B6"/>
    <w:p w:rsidR="003E41B6" w:rsidRPr="00197F2E" w:rsidRDefault="003E41B6" w:rsidP="003E41B6">
      <w:pPr>
        <w:rPr>
          <w:b/>
          <w:bCs/>
        </w:rPr>
      </w:pPr>
      <w:r w:rsidRPr="00197F2E">
        <w:rPr>
          <w:b/>
          <w:bCs/>
        </w:rPr>
        <w:t>ROBINS-I Assessment for Lien et al. (2023)</w:t>
      </w:r>
    </w:p>
    <w:p w:rsidR="003E41B6" w:rsidRPr="00197F2E" w:rsidRDefault="003E41B6" w:rsidP="003E41B6">
      <w:pPr>
        <w:rPr>
          <w:b/>
          <w:bCs/>
        </w:rPr>
      </w:pPr>
      <w:r w:rsidRPr="00197F2E">
        <w:rPr>
          <w:b/>
          <w:bCs/>
        </w:rPr>
        <w:t>1. Bias due to confounding</w:t>
      </w:r>
    </w:p>
    <w:p w:rsidR="003E41B6" w:rsidRPr="00197F2E" w:rsidRDefault="003E41B6" w:rsidP="003E41B6">
      <w:pPr>
        <w:widowControl w:val="0"/>
        <w:numPr>
          <w:ilvl w:val="0"/>
          <w:numId w:val="15"/>
        </w:numPr>
        <w:spacing w:after="160" w:line="278" w:lineRule="auto"/>
      </w:pPr>
      <w:r w:rsidRPr="00197F2E">
        <w:rPr>
          <w:b/>
          <w:bCs/>
        </w:rPr>
        <w:t>Rating: Serious risk</w:t>
      </w:r>
    </w:p>
    <w:p w:rsidR="003E41B6" w:rsidRPr="00197F2E" w:rsidRDefault="003E41B6" w:rsidP="003E41B6">
      <w:pPr>
        <w:widowControl w:val="0"/>
        <w:numPr>
          <w:ilvl w:val="0"/>
          <w:numId w:val="15"/>
        </w:numPr>
        <w:spacing w:after="160" w:line="278" w:lineRule="auto"/>
      </w:pPr>
      <w:r w:rsidRPr="00197F2E">
        <w:rPr>
          <w:b/>
          <w:bCs/>
        </w:rPr>
        <w:t>Rationale</w:t>
      </w:r>
      <w:r w:rsidRPr="00197F2E">
        <w:t xml:space="preserve">: This was a retrospective, non-randomized study where </w:t>
      </w:r>
      <w:r>
        <w:t>UFT</w:t>
      </w:r>
      <w:r w:rsidRPr="00197F2E">
        <w:t xml:space="preserve"> maintenance therapy was decided "at physician's discretion" rather than through randomization. Although baseline characteristics appear balanced between groups, unmeasured confounders likely influenced treatment decisions. Multivariate analysis adjusted for some confounders but cannot account for all potential selection biases in treatment assignment.</w:t>
      </w:r>
    </w:p>
    <w:p w:rsidR="003E41B6" w:rsidRPr="00197F2E" w:rsidRDefault="003E41B6" w:rsidP="003E41B6">
      <w:pPr>
        <w:rPr>
          <w:b/>
          <w:bCs/>
        </w:rPr>
      </w:pPr>
      <w:r w:rsidRPr="00197F2E">
        <w:rPr>
          <w:b/>
          <w:bCs/>
        </w:rPr>
        <w:t>2. Bias in selection of participants</w:t>
      </w:r>
    </w:p>
    <w:p w:rsidR="003E41B6" w:rsidRPr="00197F2E" w:rsidRDefault="003E41B6" w:rsidP="003E41B6">
      <w:pPr>
        <w:widowControl w:val="0"/>
        <w:numPr>
          <w:ilvl w:val="0"/>
          <w:numId w:val="16"/>
        </w:numPr>
        <w:spacing w:after="160" w:line="278" w:lineRule="auto"/>
      </w:pPr>
      <w:r w:rsidRPr="00197F2E">
        <w:rPr>
          <w:b/>
          <w:bCs/>
        </w:rPr>
        <w:lastRenderedPageBreak/>
        <w:t>Rating: Moderate risk</w:t>
      </w:r>
    </w:p>
    <w:p w:rsidR="003E41B6" w:rsidRPr="00197F2E" w:rsidRDefault="003E41B6" w:rsidP="003E41B6">
      <w:pPr>
        <w:widowControl w:val="0"/>
        <w:numPr>
          <w:ilvl w:val="0"/>
          <w:numId w:val="16"/>
        </w:numPr>
        <w:spacing w:after="160" w:line="278" w:lineRule="auto"/>
      </w:pPr>
      <w:r w:rsidRPr="00197F2E">
        <w:rPr>
          <w:b/>
          <w:bCs/>
        </w:rPr>
        <w:t>Rationale</w:t>
      </w:r>
      <w:r w:rsidRPr="00197F2E">
        <w:t xml:space="preserve">: Clear inclusion criteria were established, but the study relied on a retrospective database from a single institution. Patient selection for </w:t>
      </w:r>
      <w:r>
        <w:t>UFT</w:t>
      </w:r>
      <w:r w:rsidRPr="00197F2E">
        <w:t xml:space="preserve"> maintenance was not randomized, and selection for treatment was based on physician preference, which may have resulted in preferential treatment for patients with better prognosis or performance status.</w:t>
      </w:r>
    </w:p>
    <w:p w:rsidR="003E41B6" w:rsidRPr="00197F2E" w:rsidRDefault="003E41B6" w:rsidP="003E41B6">
      <w:pPr>
        <w:rPr>
          <w:b/>
          <w:bCs/>
        </w:rPr>
      </w:pPr>
      <w:r w:rsidRPr="00197F2E">
        <w:rPr>
          <w:b/>
          <w:bCs/>
        </w:rPr>
        <w:t>3. Bias in classification of interventions</w:t>
      </w:r>
    </w:p>
    <w:p w:rsidR="003E41B6" w:rsidRPr="00197F2E" w:rsidRDefault="003E41B6" w:rsidP="003E41B6">
      <w:pPr>
        <w:widowControl w:val="0"/>
        <w:numPr>
          <w:ilvl w:val="0"/>
          <w:numId w:val="17"/>
        </w:numPr>
        <w:spacing w:after="160" w:line="278" w:lineRule="auto"/>
      </w:pPr>
      <w:r w:rsidRPr="00197F2E">
        <w:rPr>
          <w:b/>
          <w:bCs/>
        </w:rPr>
        <w:t>Rating: Low risk</w:t>
      </w:r>
    </w:p>
    <w:p w:rsidR="003E41B6" w:rsidRPr="00197F2E" w:rsidRDefault="003E41B6" w:rsidP="003E41B6">
      <w:pPr>
        <w:widowControl w:val="0"/>
        <w:numPr>
          <w:ilvl w:val="0"/>
          <w:numId w:val="17"/>
        </w:numPr>
        <w:spacing w:after="160" w:line="278" w:lineRule="auto"/>
      </w:pPr>
      <w:r w:rsidRPr="00197F2E">
        <w:rPr>
          <w:b/>
          <w:bCs/>
        </w:rPr>
        <w:t>Rationale</w:t>
      </w:r>
      <w:r w:rsidRPr="00197F2E">
        <w:t>: The intervention (</w:t>
      </w:r>
      <w:r>
        <w:t>UFT</w:t>
      </w:r>
      <w:r w:rsidRPr="00197F2E">
        <w:t xml:space="preserve"> maintenance) was clearly defined, as was the biomarker assessment (cortactin expression). The immunohistochemical staining method for cortactin was well described with specific criteria for positivity.</w:t>
      </w:r>
    </w:p>
    <w:p w:rsidR="003E41B6" w:rsidRPr="00197F2E" w:rsidRDefault="003E41B6" w:rsidP="003E41B6">
      <w:pPr>
        <w:rPr>
          <w:b/>
          <w:bCs/>
        </w:rPr>
      </w:pPr>
      <w:r w:rsidRPr="00197F2E">
        <w:rPr>
          <w:b/>
          <w:bCs/>
        </w:rPr>
        <w:t>4. Bias due to deviations from intended interventions</w:t>
      </w:r>
    </w:p>
    <w:p w:rsidR="003E41B6" w:rsidRPr="00197F2E" w:rsidRDefault="003E41B6" w:rsidP="003E41B6">
      <w:pPr>
        <w:widowControl w:val="0"/>
        <w:numPr>
          <w:ilvl w:val="0"/>
          <w:numId w:val="18"/>
        </w:numPr>
        <w:spacing w:after="160" w:line="278" w:lineRule="auto"/>
      </w:pPr>
      <w:r w:rsidRPr="00197F2E">
        <w:rPr>
          <w:b/>
          <w:bCs/>
        </w:rPr>
        <w:t>Rating: Low risk</w:t>
      </w:r>
    </w:p>
    <w:p w:rsidR="003E41B6" w:rsidRPr="00197F2E" w:rsidRDefault="003E41B6" w:rsidP="003E41B6">
      <w:pPr>
        <w:widowControl w:val="0"/>
        <w:numPr>
          <w:ilvl w:val="0"/>
          <w:numId w:val="18"/>
        </w:numPr>
        <w:spacing w:after="160" w:line="278" w:lineRule="auto"/>
      </w:pPr>
      <w:r w:rsidRPr="00197F2E">
        <w:rPr>
          <w:b/>
          <w:bCs/>
        </w:rPr>
        <w:t>Rationale</w:t>
      </w:r>
      <w:r w:rsidRPr="00197F2E">
        <w:t xml:space="preserve">: The study analyzed the effect of </w:t>
      </w:r>
      <w:r>
        <w:t>UFT</w:t>
      </w:r>
      <w:r w:rsidRPr="00197F2E">
        <w:t xml:space="preserve"> maintenance as it was implemented in clinical practice. There is no indication of significant deviation from the intended intervention.</w:t>
      </w:r>
    </w:p>
    <w:p w:rsidR="003E41B6" w:rsidRPr="00197F2E" w:rsidRDefault="003E41B6" w:rsidP="003E41B6">
      <w:pPr>
        <w:rPr>
          <w:b/>
          <w:bCs/>
        </w:rPr>
      </w:pPr>
      <w:r w:rsidRPr="00197F2E">
        <w:rPr>
          <w:b/>
          <w:bCs/>
        </w:rPr>
        <w:t>5. Bias due to missing data</w:t>
      </w:r>
    </w:p>
    <w:p w:rsidR="003E41B6" w:rsidRPr="00197F2E" w:rsidRDefault="003E41B6" w:rsidP="003E41B6">
      <w:pPr>
        <w:widowControl w:val="0"/>
        <w:numPr>
          <w:ilvl w:val="0"/>
          <w:numId w:val="19"/>
        </w:numPr>
        <w:spacing w:after="160" w:line="278" w:lineRule="auto"/>
      </w:pPr>
      <w:r w:rsidRPr="00197F2E">
        <w:rPr>
          <w:b/>
          <w:bCs/>
        </w:rPr>
        <w:t>Rating: Low risk</w:t>
      </w:r>
    </w:p>
    <w:p w:rsidR="003E41B6" w:rsidRPr="00197F2E" w:rsidRDefault="003E41B6" w:rsidP="003E41B6">
      <w:pPr>
        <w:widowControl w:val="0"/>
        <w:numPr>
          <w:ilvl w:val="0"/>
          <w:numId w:val="19"/>
        </w:numPr>
        <w:spacing w:after="160" w:line="278" w:lineRule="auto"/>
      </w:pPr>
      <w:r w:rsidRPr="00197F2E">
        <w:rPr>
          <w:b/>
          <w:bCs/>
        </w:rPr>
        <w:t>Rationale</w:t>
      </w:r>
      <w:r w:rsidRPr="00197F2E">
        <w:t>: The study appears to have complete follow-up data with a median follow-up of 65 months. No significant missing data issues were reported.</w:t>
      </w:r>
    </w:p>
    <w:p w:rsidR="003E41B6" w:rsidRPr="00197F2E" w:rsidRDefault="003E41B6" w:rsidP="003E41B6">
      <w:pPr>
        <w:rPr>
          <w:b/>
          <w:bCs/>
        </w:rPr>
      </w:pPr>
      <w:r w:rsidRPr="00197F2E">
        <w:rPr>
          <w:b/>
          <w:bCs/>
        </w:rPr>
        <w:t>6. Bias in measurement of outcomes</w:t>
      </w:r>
    </w:p>
    <w:p w:rsidR="003E41B6" w:rsidRPr="00197F2E" w:rsidRDefault="003E41B6" w:rsidP="003E41B6">
      <w:pPr>
        <w:widowControl w:val="0"/>
        <w:numPr>
          <w:ilvl w:val="0"/>
          <w:numId w:val="20"/>
        </w:numPr>
        <w:spacing w:after="160" w:line="278" w:lineRule="auto"/>
      </w:pPr>
      <w:r w:rsidRPr="00197F2E">
        <w:rPr>
          <w:b/>
          <w:bCs/>
        </w:rPr>
        <w:t>Rating: Low risk</w:t>
      </w:r>
    </w:p>
    <w:p w:rsidR="003E41B6" w:rsidRPr="00197F2E" w:rsidRDefault="003E41B6" w:rsidP="003E41B6">
      <w:pPr>
        <w:widowControl w:val="0"/>
        <w:numPr>
          <w:ilvl w:val="0"/>
          <w:numId w:val="20"/>
        </w:numPr>
        <w:spacing w:after="160" w:line="278" w:lineRule="auto"/>
      </w:pPr>
      <w:r w:rsidRPr="00197F2E">
        <w:rPr>
          <w:b/>
          <w:bCs/>
        </w:rPr>
        <w:t>Rationale</w:t>
      </w:r>
      <w:r w:rsidRPr="00197F2E">
        <w:t>: The outcomes (RFS and OS) are objective measures with clear definitions. Follow-up protocols were standardized, and outcome assessment was unlikely to be influenced by knowledge of the intervention.</w:t>
      </w:r>
    </w:p>
    <w:p w:rsidR="003E41B6" w:rsidRPr="00197F2E" w:rsidRDefault="003E41B6" w:rsidP="003E41B6">
      <w:pPr>
        <w:rPr>
          <w:b/>
          <w:bCs/>
        </w:rPr>
      </w:pPr>
      <w:r w:rsidRPr="00197F2E">
        <w:rPr>
          <w:b/>
          <w:bCs/>
        </w:rPr>
        <w:t>7. Bias in selection of the reported result</w:t>
      </w:r>
    </w:p>
    <w:p w:rsidR="003E41B6" w:rsidRPr="00197F2E" w:rsidRDefault="003E41B6" w:rsidP="003E41B6">
      <w:pPr>
        <w:widowControl w:val="0"/>
        <w:numPr>
          <w:ilvl w:val="0"/>
          <w:numId w:val="21"/>
        </w:numPr>
        <w:spacing w:after="160" w:line="278" w:lineRule="auto"/>
      </w:pPr>
      <w:r w:rsidRPr="00197F2E">
        <w:rPr>
          <w:b/>
          <w:bCs/>
        </w:rPr>
        <w:t>Rating: Low risk</w:t>
      </w:r>
    </w:p>
    <w:p w:rsidR="003E41B6" w:rsidRPr="00197F2E" w:rsidRDefault="003E41B6" w:rsidP="003E41B6">
      <w:pPr>
        <w:widowControl w:val="0"/>
        <w:numPr>
          <w:ilvl w:val="0"/>
          <w:numId w:val="21"/>
        </w:numPr>
        <w:spacing w:after="160" w:line="278" w:lineRule="auto"/>
      </w:pPr>
      <w:r w:rsidRPr="00197F2E">
        <w:rPr>
          <w:b/>
          <w:bCs/>
        </w:rPr>
        <w:t>Rationale</w:t>
      </w:r>
      <w:r w:rsidRPr="00197F2E">
        <w:t>: The study reported all primary outcomes as specified, with appropriate subgroup analyses by cortactin status. There's no evidence of selective reporting based on statistical significance.</w:t>
      </w:r>
    </w:p>
    <w:p w:rsidR="003E41B6" w:rsidRPr="00197F2E" w:rsidRDefault="003E41B6" w:rsidP="003E41B6">
      <w:pPr>
        <w:rPr>
          <w:b/>
          <w:bCs/>
        </w:rPr>
      </w:pPr>
      <w:r w:rsidRPr="00197F2E">
        <w:rPr>
          <w:b/>
          <w:bCs/>
        </w:rPr>
        <w:t>Overall assessment:</w:t>
      </w:r>
    </w:p>
    <w:p w:rsidR="003E41B6" w:rsidRPr="00197F2E" w:rsidRDefault="003E41B6" w:rsidP="003E41B6">
      <w:r w:rsidRPr="00197F2E">
        <w:rPr>
          <w:b/>
          <w:bCs/>
        </w:rPr>
        <w:lastRenderedPageBreak/>
        <w:t>Overall risk of bias: Serious risk</w:t>
      </w:r>
    </w:p>
    <w:p w:rsidR="003E41B6" w:rsidRPr="00197F2E" w:rsidRDefault="003E41B6" w:rsidP="003E41B6">
      <w:r w:rsidRPr="00197F2E">
        <w:t xml:space="preserve">The main limitation is the retrospective, non-randomized design with treatment decisions made at physician discretion. While multivariate analysis was conducted to adjust for confounders, unmeasured factors likely influenced both treatment selection and outcomes. The stratification by cortactin expression adds value as a predictive biomarker for </w:t>
      </w:r>
      <w:r>
        <w:t>UFT</w:t>
      </w:r>
      <w:r w:rsidRPr="00197F2E">
        <w:t xml:space="preserve"> benefit, but the findings should be validated in a prospective randomized trial. The authors acknowledge these limitations, noting that "the retrospective and non-randomized study design may be a major bias" and that "further prospective randomized controlled trials with larger cohort are warranted."</w:t>
      </w:r>
    </w:p>
    <w:p w:rsidR="003E41B6" w:rsidRDefault="003E41B6" w:rsidP="003E41B6"/>
    <w:p w:rsidR="003E41B6" w:rsidRPr="001D7F80" w:rsidRDefault="003E41B6" w:rsidP="003E41B6">
      <w:pPr>
        <w:rPr>
          <w:b/>
          <w:bCs/>
        </w:rPr>
      </w:pPr>
      <w:r w:rsidRPr="001D7F80">
        <w:rPr>
          <w:b/>
          <w:bCs/>
        </w:rPr>
        <w:t xml:space="preserve">ROBINS-I Assessment for </w:t>
      </w:r>
      <w:r w:rsidRPr="005F2AA5">
        <w:rPr>
          <w:b/>
          <w:bCs/>
        </w:rPr>
        <w:t>Yeh et al. (2021)</w:t>
      </w:r>
    </w:p>
    <w:p w:rsidR="003E41B6" w:rsidRPr="001D7F80" w:rsidRDefault="003E41B6" w:rsidP="003E41B6">
      <w:pPr>
        <w:rPr>
          <w:b/>
          <w:bCs/>
        </w:rPr>
      </w:pPr>
      <w:r w:rsidRPr="001D7F80">
        <w:rPr>
          <w:b/>
          <w:bCs/>
        </w:rPr>
        <w:t>1. Bias due to confounding</w:t>
      </w:r>
    </w:p>
    <w:p w:rsidR="003E41B6" w:rsidRPr="000A61FA" w:rsidRDefault="003E41B6" w:rsidP="003E41B6">
      <w:pPr>
        <w:widowControl w:val="0"/>
        <w:numPr>
          <w:ilvl w:val="0"/>
          <w:numId w:val="21"/>
        </w:numPr>
        <w:spacing w:after="160" w:line="278" w:lineRule="auto"/>
      </w:pPr>
      <w:r w:rsidRPr="000A61FA">
        <w:rPr>
          <w:b/>
          <w:bCs/>
        </w:rPr>
        <w:t xml:space="preserve">Rating: </w:t>
      </w:r>
      <w:r w:rsidRPr="000A61FA">
        <w:t>Serious risk</w:t>
      </w:r>
    </w:p>
    <w:p w:rsidR="003E41B6" w:rsidRPr="001D7F80" w:rsidRDefault="003E41B6" w:rsidP="003E41B6">
      <w:pPr>
        <w:widowControl w:val="0"/>
        <w:numPr>
          <w:ilvl w:val="0"/>
          <w:numId w:val="21"/>
        </w:numPr>
        <w:spacing w:after="160" w:line="278" w:lineRule="auto"/>
      </w:pPr>
      <w:r w:rsidRPr="000A61FA">
        <w:rPr>
          <w:b/>
          <w:bCs/>
        </w:rPr>
        <w:t>Rationale:</w:t>
      </w:r>
      <w:r>
        <w:rPr>
          <w:rFonts w:hint="eastAsia"/>
          <w:b/>
          <w:bCs/>
        </w:rPr>
        <w:t xml:space="preserve"> </w:t>
      </w:r>
      <w:r w:rsidRPr="000A61FA">
        <w:t xml:space="preserve">This retrospective cohort study lacked randomization. Although multivariate analysis adjusted for several clinical and pathological variables (e.g., ENE, LVI, tumor stage), imbalances in baseline characteristics were present—patients receiving </w:t>
      </w:r>
      <w:r>
        <w:rPr>
          <w:rFonts w:hint="eastAsia"/>
        </w:rPr>
        <w:t>UFT</w:t>
      </w:r>
      <w:r w:rsidRPr="000A61FA">
        <w:t xml:space="preserve"> had worse prognostic features (more ENE, LVI, and positive margins). The choice to administer </w:t>
      </w:r>
      <w:r>
        <w:rPr>
          <w:rFonts w:hint="eastAsia"/>
        </w:rPr>
        <w:t>UFT</w:t>
      </w:r>
      <w:r w:rsidRPr="000A61FA">
        <w:t xml:space="preserve"> was not randomized but likely influenced by perceived risk, leading to potential unmeasured confounding.</w:t>
      </w:r>
    </w:p>
    <w:p w:rsidR="003E41B6" w:rsidRPr="001D7F80" w:rsidRDefault="003E41B6" w:rsidP="003E41B6">
      <w:pPr>
        <w:rPr>
          <w:b/>
          <w:bCs/>
        </w:rPr>
      </w:pPr>
      <w:r w:rsidRPr="001D7F80">
        <w:rPr>
          <w:b/>
          <w:bCs/>
        </w:rPr>
        <w:t>2. Bias in selection of participants</w:t>
      </w:r>
    </w:p>
    <w:p w:rsidR="003E41B6" w:rsidRPr="000A61FA" w:rsidRDefault="003E41B6" w:rsidP="003E41B6">
      <w:pPr>
        <w:widowControl w:val="0"/>
        <w:numPr>
          <w:ilvl w:val="0"/>
          <w:numId w:val="21"/>
        </w:numPr>
        <w:spacing w:after="160" w:line="278" w:lineRule="auto"/>
      </w:pPr>
      <w:r w:rsidRPr="000A61FA">
        <w:rPr>
          <w:b/>
          <w:bCs/>
        </w:rPr>
        <w:t xml:space="preserve">Rating: </w:t>
      </w:r>
      <w:r w:rsidRPr="000A61FA">
        <w:t>Serious risk</w:t>
      </w:r>
    </w:p>
    <w:p w:rsidR="003E41B6" w:rsidRPr="001D7F80" w:rsidRDefault="003E41B6" w:rsidP="003E41B6">
      <w:pPr>
        <w:widowControl w:val="0"/>
        <w:numPr>
          <w:ilvl w:val="0"/>
          <w:numId w:val="21"/>
        </w:numPr>
        <w:spacing w:after="160" w:line="278" w:lineRule="auto"/>
      </w:pPr>
      <w:r w:rsidRPr="000A61FA">
        <w:rPr>
          <w:b/>
          <w:bCs/>
        </w:rPr>
        <w:t>Rationale:</w:t>
      </w:r>
      <w:r>
        <w:rPr>
          <w:rFonts w:hint="eastAsia"/>
          <w:b/>
          <w:bCs/>
        </w:rPr>
        <w:t xml:space="preserve"> </w:t>
      </w:r>
      <w:r w:rsidRPr="005F2AA5">
        <w:t>Patients were retrospectively selected from a single institution and included based on treatment records and pathology findings. The treatment assignment (</w:t>
      </w:r>
      <w:r>
        <w:t>UFT</w:t>
      </w:r>
      <w:r w:rsidRPr="005F2AA5">
        <w:t xml:space="preserve"> vs. control) was influenced by physician judgment rather than predefined eligibility criteria, increasing the likelihood of selection bias. Furthermore, patients with incomplete records or without follow-up were likely excluded, which could further bias the sample.</w:t>
      </w:r>
    </w:p>
    <w:p w:rsidR="003E41B6" w:rsidRPr="001D7F80" w:rsidRDefault="003E41B6" w:rsidP="003E41B6">
      <w:pPr>
        <w:rPr>
          <w:b/>
          <w:bCs/>
        </w:rPr>
      </w:pPr>
      <w:r w:rsidRPr="001D7F80">
        <w:rPr>
          <w:b/>
          <w:bCs/>
        </w:rPr>
        <w:t>3. Bias in classification of interventions</w:t>
      </w:r>
    </w:p>
    <w:p w:rsidR="003E41B6" w:rsidRPr="000A61FA" w:rsidRDefault="003E41B6" w:rsidP="003E41B6">
      <w:pPr>
        <w:widowControl w:val="0"/>
        <w:numPr>
          <w:ilvl w:val="0"/>
          <w:numId w:val="21"/>
        </w:numPr>
        <w:spacing w:after="160" w:line="278" w:lineRule="auto"/>
      </w:pPr>
      <w:r w:rsidRPr="000A61FA">
        <w:rPr>
          <w:b/>
          <w:bCs/>
        </w:rPr>
        <w:t xml:space="preserve">Rating: </w:t>
      </w:r>
      <w:r w:rsidRPr="000A61FA">
        <w:t>Moderate risk</w:t>
      </w:r>
    </w:p>
    <w:p w:rsidR="003E41B6" w:rsidRPr="001D7F80" w:rsidRDefault="003E41B6" w:rsidP="003E41B6">
      <w:pPr>
        <w:widowControl w:val="0"/>
        <w:numPr>
          <w:ilvl w:val="0"/>
          <w:numId w:val="21"/>
        </w:numPr>
        <w:spacing w:after="160" w:line="278" w:lineRule="auto"/>
      </w:pPr>
      <w:r w:rsidRPr="000A61FA">
        <w:rPr>
          <w:b/>
          <w:bCs/>
        </w:rPr>
        <w:t>Rationale:</w:t>
      </w:r>
      <w:r>
        <w:rPr>
          <w:rFonts w:hint="eastAsia"/>
          <w:b/>
          <w:bCs/>
        </w:rPr>
        <w:t xml:space="preserve"> </w:t>
      </w:r>
      <w:r>
        <w:rPr>
          <w:rFonts w:hint="eastAsia"/>
        </w:rPr>
        <w:t>UFT</w:t>
      </w:r>
      <w:r w:rsidRPr="005F2AA5">
        <w:t xml:space="preserve"> exposure was determined through medical record review. The dose and duration varied (100–400 mg/day for 3–12 months), and while subgroup analyses by duration were performed, the absence of standardized treatment protocol could lead to misclassification or inconsistent treatment documentation.</w:t>
      </w:r>
    </w:p>
    <w:p w:rsidR="003E41B6" w:rsidRPr="001D7F80" w:rsidRDefault="003E41B6" w:rsidP="003E41B6">
      <w:pPr>
        <w:rPr>
          <w:b/>
          <w:bCs/>
        </w:rPr>
      </w:pPr>
      <w:r w:rsidRPr="001D7F80">
        <w:rPr>
          <w:b/>
          <w:bCs/>
        </w:rPr>
        <w:t>4. Bias due to deviations from intended interventions</w:t>
      </w:r>
    </w:p>
    <w:p w:rsidR="003E41B6" w:rsidRDefault="003E41B6" w:rsidP="003E41B6">
      <w:pPr>
        <w:widowControl w:val="0"/>
        <w:numPr>
          <w:ilvl w:val="0"/>
          <w:numId w:val="21"/>
        </w:numPr>
        <w:spacing w:after="160" w:line="278" w:lineRule="auto"/>
      </w:pPr>
      <w:r w:rsidRPr="001D7F80">
        <w:rPr>
          <w:b/>
          <w:bCs/>
        </w:rPr>
        <w:lastRenderedPageBreak/>
        <w:t>Rating:</w:t>
      </w:r>
      <w:r w:rsidRPr="001D7F80">
        <w:t xml:space="preserve"> Moderate risk</w:t>
      </w:r>
    </w:p>
    <w:p w:rsidR="003E41B6" w:rsidRPr="001D7F80" w:rsidRDefault="003E41B6" w:rsidP="003E41B6">
      <w:pPr>
        <w:widowControl w:val="0"/>
        <w:numPr>
          <w:ilvl w:val="0"/>
          <w:numId w:val="21"/>
        </w:numPr>
        <w:spacing w:after="160" w:line="278" w:lineRule="auto"/>
      </w:pPr>
      <w:r w:rsidRPr="001D7F80">
        <w:rPr>
          <w:b/>
          <w:bCs/>
        </w:rPr>
        <w:t>Rationale:</w:t>
      </w:r>
      <w:r>
        <w:rPr>
          <w:rFonts w:hint="eastAsia"/>
          <w:b/>
          <w:bCs/>
        </w:rPr>
        <w:t xml:space="preserve"> </w:t>
      </w:r>
      <w:r w:rsidRPr="000A61FA">
        <w:t xml:space="preserve">There was no formal intervention protocol. </w:t>
      </w:r>
      <w:r>
        <w:rPr>
          <w:rFonts w:hint="eastAsia"/>
        </w:rPr>
        <w:t>UFT</w:t>
      </w:r>
      <w:r w:rsidRPr="000A61FA">
        <w:t xml:space="preserve"> administration duration varied by patient, and adherence was monitored via outpatient visits, but no strict compliance checks were reported. Patients may have discontinued or altered therapy for reasons not captured systematically.</w:t>
      </w:r>
    </w:p>
    <w:p w:rsidR="003E41B6" w:rsidRPr="001D7F80" w:rsidRDefault="003E41B6" w:rsidP="003E41B6">
      <w:pPr>
        <w:rPr>
          <w:b/>
          <w:bCs/>
        </w:rPr>
      </w:pPr>
      <w:r w:rsidRPr="001D7F80">
        <w:rPr>
          <w:b/>
          <w:bCs/>
        </w:rPr>
        <w:t>5. Bias due to missing data</w:t>
      </w:r>
    </w:p>
    <w:p w:rsidR="003E41B6" w:rsidRDefault="003E41B6" w:rsidP="003E41B6">
      <w:pPr>
        <w:widowControl w:val="0"/>
        <w:numPr>
          <w:ilvl w:val="0"/>
          <w:numId w:val="21"/>
        </w:numPr>
        <w:spacing w:after="160" w:line="278" w:lineRule="auto"/>
      </w:pPr>
      <w:r w:rsidRPr="001D7F80">
        <w:rPr>
          <w:b/>
          <w:bCs/>
        </w:rPr>
        <w:t>Rating:</w:t>
      </w:r>
      <w:r w:rsidRPr="001D7F80">
        <w:t xml:space="preserve"> Low risk</w:t>
      </w:r>
    </w:p>
    <w:p w:rsidR="003E41B6" w:rsidRPr="001D7F80" w:rsidRDefault="003E41B6" w:rsidP="003E41B6">
      <w:pPr>
        <w:widowControl w:val="0"/>
        <w:numPr>
          <w:ilvl w:val="0"/>
          <w:numId w:val="21"/>
        </w:numPr>
        <w:spacing w:after="160" w:line="278" w:lineRule="auto"/>
      </w:pPr>
      <w:r w:rsidRPr="001D7F80">
        <w:rPr>
          <w:b/>
          <w:bCs/>
        </w:rPr>
        <w:t>Rationale:</w:t>
      </w:r>
      <w:r>
        <w:rPr>
          <w:rFonts w:hint="eastAsia"/>
          <w:b/>
          <w:bCs/>
        </w:rPr>
        <w:t xml:space="preserve"> </w:t>
      </w:r>
      <w:r w:rsidRPr="005F2AA5">
        <w:t>The study included all 240 eligible patients, and outcomes were consistently reported. There is no indication of differential follow-up or substantial missing data, and survival analyses were conducted for all included patients.</w:t>
      </w:r>
    </w:p>
    <w:p w:rsidR="003E41B6" w:rsidRPr="001D7F80" w:rsidRDefault="003E41B6" w:rsidP="003E41B6">
      <w:pPr>
        <w:rPr>
          <w:b/>
          <w:bCs/>
        </w:rPr>
      </w:pPr>
      <w:r w:rsidRPr="001D7F80">
        <w:rPr>
          <w:b/>
          <w:bCs/>
        </w:rPr>
        <w:t>6. Bias in measurement of outcomes</w:t>
      </w:r>
    </w:p>
    <w:p w:rsidR="003E41B6" w:rsidRDefault="003E41B6" w:rsidP="003E41B6">
      <w:pPr>
        <w:widowControl w:val="0"/>
        <w:numPr>
          <w:ilvl w:val="0"/>
          <w:numId w:val="21"/>
        </w:numPr>
        <w:spacing w:after="160" w:line="278" w:lineRule="auto"/>
      </w:pPr>
      <w:r w:rsidRPr="001D7F80">
        <w:rPr>
          <w:b/>
          <w:bCs/>
        </w:rPr>
        <w:t>Rating:</w:t>
      </w:r>
      <w:r w:rsidRPr="001D7F80">
        <w:t xml:space="preserve"> Moderate risk</w:t>
      </w:r>
    </w:p>
    <w:p w:rsidR="003E41B6" w:rsidRPr="001D7F80" w:rsidRDefault="003E41B6" w:rsidP="003E41B6">
      <w:pPr>
        <w:widowControl w:val="0"/>
        <w:numPr>
          <w:ilvl w:val="0"/>
          <w:numId w:val="21"/>
        </w:numPr>
        <w:spacing w:after="160" w:line="278" w:lineRule="auto"/>
      </w:pPr>
      <w:r w:rsidRPr="001D7F80">
        <w:rPr>
          <w:b/>
          <w:bCs/>
        </w:rPr>
        <w:t>Rationale:</w:t>
      </w:r>
      <w:r w:rsidRPr="005F2AA5">
        <w:t xml:space="preserve"> While overall survival is an objective measure, disease-free survival and distant metastasis-free survival depend on clinical judgment and imaging interpretation, potentially influenced by knowledge of treatment group. The study was not blinded, which may introduce detection bias.</w:t>
      </w:r>
    </w:p>
    <w:p w:rsidR="003E41B6" w:rsidRPr="001D7F80" w:rsidRDefault="003E41B6" w:rsidP="003E41B6">
      <w:pPr>
        <w:rPr>
          <w:b/>
          <w:bCs/>
        </w:rPr>
      </w:pPr>
      <w:r w:rsidRPr="001D7F80">
        <w:rPr>
          <w:b/>
          <w:bCs/>
        </w:rPr>
        <w:t>7. Bias in selection of the reported result</w:t>
      </w:r>
    </w:p>
    <w:p w:rsidR="003E41B6" w:rsidRDefault="003E41B6" w:rsidP="003E41B6">
      <w:pPr>
        <w:widowControl w:val="0"/>
        <w:numPr>
          <w:ilvl w:val="0"/>
          <w:numId w:val="21"/>
        </w:numPr>
        <w:spacing w:after="160" w:line="278" w:lineRule="auto"/>
      </w:pPr>
      <w:r w:rsidRPr="001D7F80">
        <w:rPr>
          <w:b/>
          <w:bCs/>
        </w:rPr>
        <w:t>Rating:</w:t>
      </w:r>
      <w:r w:rsidRPr="001D7F80">
        <w:t xml:space="preserve"> Low risk</w:t>
      </w:r>
    </w:p>
    <w:p w:rsidR="003E41B6" w:rsidRPr="005F2AA5" w:rsidRDefault="003E41B6" w:rsidP="003E41B6">
      <w:pPr>
        <w:widowControl w:val="0"/>
        <w:numPr>
          <w:ilvl w:val="0"/>
          <w:numId w:val="21"/>
        </w:numPr>
        <w:spacing w:after="160" w:line="278" w:lineRule="auto"/>
      </w:pPr>
      <w:r w:rsidRPr="001D7F80">
        <w:rPr>
          <w:b/>
          <w:bCs/>
        </w:rPr>
        <w:t>Rationale:</w:t>
      </w:r>
      <w:r>
        <w:rPr>
          <w:rFonts w:hint="eastAsia"/>
          <w:b/>
          <w:bCs/>
        </w:rPr>
        <w:t xml:space="preserve"> </w:t>
      </w:r>
      <w:r w:rsidRPr="000A61FA">
        <w:t>All major outcomes (OS, DFS, DMFS, adverse events) were prespecified and reported transparently. Subgroup and duration analyses were also described in detail. There is no indication of selective reporting.</w:t>
      </w:r>
    </w:p>
    <w:p w:rsidR="003E41B6" w:rsidRPr="000A61FA" w:rsidRDefault="003E41B6" w:rsidP="003E41B6">
      <w:pPr>
        <w:rPr>
          <w:b/>
          <w:bCs/>
        </w:rPr>
      </w:pPr>
      <w:r w:rsidRPr="001D7F80">
        <w:rPr>
          <w:b/>
          <w:bCs/>
        </w:rPr>
        <w:t>Overall Assessment:</w:t>
      </w:r>
      <w:r>
        <w:rPr>
          <w:rFonts w:hint="eastAsia"/>
          <w:b/>
          <w:bCs/>
        </w:rPr>
        <w:t xml:space="preserve"> </w:t>
      </w:r>
      <w:r w:rsidRPr="001D7F80">
        <w:rPr>
          <w:b/>
          <w:bCs/>
        </w:rPr>
        <w:t>Overall risk of bias</w:t>
      </w:r>
      <w:r w:rsidRPr="005F2AA5">
        <w:rPr>
          <w:b/>
          <w:bCs/>
        </w:rPr>
        <w:t>:</w:t>
      </w:r>
      <w:r w:rsidRPr="000A61FA">
        <w:rPr>
          <w:b/>
          <w:bCs/>
        </w:rPr>
        <w:t xml:space="preserve"> Serious risk</w:t>
      </w:r>
    </w:p>
    <w:p w:rsidR="003E41B6" w:rsidRDefault="003E41B6" w:rsidP="003E41B6">
      <w:pPr>
        <w:widowControl w:val="0"/>
        <w:spacing w:after="160" w:line="278" w:lineRule="auto"/>
        <w:ind w:left="360"/>
      </w:pPr>
      <w:r w:rsidRPr="000A61FA">
        <w:t xml:space="preserve">The overall evidence is at serious risk of bias, primarily due to the observational design, non-randomized treatment allocation, and potential residual confounding. The stronger prognosis in the </w:t>
      </w:r>
      <w:r>
        <w:t>UFT</w:t>
      </w:r>
      <w:r w:rsidRPr="000A61FA">
        <w:t xml:space="preserve"> group despite worse baseline characteristics supports potential treatment benefit, but causal inference remains limited.</w:t>
      </w:r>
    </w:p>
    <w:p w:rsidR="003E41B6" w:rsidRDefault="003E41B6" w:rsidP="003E41B6"/>
    <w:p w:rsidR="003E41B6" w:rsidRPr="001D7F80" w:rsidRDefault="003E41B6" w:rsidP="003E41B6">
      <w:pPr>
        <w:rPr>
          <w:b/>
          <w:bCs/>
        </w:rPr>
      </w:pPr>
      <w:r w:rsidRPr="001D7F80">
        <w:rPr>
          <w:b/>
          <w:bCs/>
        </w:rPr>
        <w:t xml:space="preserve">ROBINS-I Assessment for </w:t>
      </w:r>
      <w:r w:rsidRPr="006946FE">
        <w:rPr>
          <w:b/>
          <w:bCs/>
        </w:rPr>
        <w:t>Hsieh</w:t>
      </w:r>
      <w:r w:rsidRPr="005F2AA5">
        <w:rPr>
          <w:b/>
          <w:bCs/>
        </w:rPr>
        <w:t xml:space="preserve"> et al. (201</w:t>
      </w:r>
      <w:r>
        <w:rPr>
          <w:rFonts w:hint="eastAsia"/>
          <w:b/>
          <w:bCs/>
        </w:rPr>
        <w:t>8</w:t>
      </w:r>
      <w:r w:rsidRPr="005F2AA5">
        <w:rPr>
          <w:b/>
          <w:bCs/>
        </w:rPr>
        <w:t>)</w:t>
      </w:r>
    </w:p>
    <w:p w:rsidR="003E41B6" w:rsidRPr="00593CAD" w:rsidRDefault="003E41B6" w:rsidP="003E41B6">
      <w:pPr>
        <w:widowControl w:val="0"/>
        <w:rPr>
          <w:b/>
          <w:bCs/>
        </w:rPr>
      </w:pPr>
      <w:r w:rsidRPr="00593CAD">
        <w:rPr>
          <w:b/>
          <w:bCs/>
        </w:rPr>
        <w:t>1. Bias due to confounding</w:t>
      </w:r>
    </w:p>
    <w:p w:rsidR="003E41B6" w:rsidRDefault="003E41B6" w:rsidP="003E41B6">
      <w:pPr>
        <w:pStyle w:val="ListParagraph"/>
        <w:widowControl w:val="0"/>
        <w:numPr>
          <w:ilvl w:val="1"/>
          <w:numId w:val="22"/>
        </w:numPr>
        <w:ind w:leftChars="0" w:left="709" w:hanging="283"/>
        <w:rPr>
          <w:lang w:val="en-US"/>
        </w:rPr>
      </w:pPr>
      <w:r w:rsidRPr="00593CAD">
        <w:rPr>
          <w:b/>
          <w:bCs/>
          <w:lang w:val="en-US"/>
        </w:rPr>
        <w:t>Rating:</w:t>
      </w:r>
      <w:r w:rsidRPr="00593CAD">
        <w:rPr>
          <w:lang w:val="en-US"/>
        </w:rPr>
        <w:t xml:space="preserve"> Serious</w:t>
      </w:r>
    </w:p>
    <w:p w:rsidR="003E41B6" w:rsidRPr="00593CAD" w:rsidRDefault="003E41B6" w:rsidP="003E41B6">
      <w:pPr>
        <w:pStyle w:val="ListParagraph"/>
        <w:widowControl w:val="0"/>
        <w:numPr>
          <w:ilvl w:val="1"/>
          <w:numId w:val="22"/>
        </w:numPr>
        <w:ind w:leftChars="0" w:left="709" w:hanging="283"/>
        <w:rPr>
          <w:lang w:val="en-US"/>
        </w:rPr>
      </w:pPr>
      <w:r w:rsidRPr="00593CAD">
        <w:rPr>
          <w:b/>
          <w:bCs/>
          <w:lang w:val="en-US"/>
        </w:rPr>
        <w:t>Rationale:</w:t>
      </w:r>
      <w:r w:rsidRPr="00593CAD">
        <w:rPr>
          <w:lang w:val="en-US"/>
        </w:rPr>
        <w:t xml:space="preserve"> This was a non-randomized, retrospective cohort study where allocation to tegafur-uracil treatment was not randomized. While baseline characteristics (e.g., age, sex, stage, comorbidities) were reported as balanced, </w:t>
      </w:r>
      <w:r w:rsidRPr="00593CAD">
        <w:rPr>
          <w:lang w:val="en-US"/>
        </w:rPr>
        <w:lastRenderedPageBreak/>
        <w:t>there may still be residual or unmeasured confounders (e.g., physician selection bias, performance status, socioeconomic status) that influenced who received maintenance chemotherapy. No propensity score adjustment or multivariable regression specifically controlling for confounders was described.</w:t>
      </w:r>
    </w:p>
    <w:p w:rsidR="003E41B6" w:rsidRPr="00593CAD" w:rsidRDefault="003E41B6" w:rsidP="003E41B6">
      <w:pPr>
        <w:widowControl w:val="0"/>
        <w:rPr>
          <w:b/>
          <w:bCs/>
        </w:rPr>
      </w:pPr>
      <w:r w:rsidRPr="00593CAD">
        <w:rPr>
          <w:b/>
          <w:bCs/>
        </w:rPr>
        <w:t>2. Bias in selection of participants</w:t>
      </w:r>
    </w:p>
    <w:p w:rsidR="003E41B6" w:rsidRDefault="003E41B6" w:rsidP="003E41B6">
      <w:pPr>
        <w:pStyle w:val="ListParagraph"/>
        <w:widowControl w:val="0"/>
        <w:numPr>
          <w:ilvl w:val="1"/>
          <w:numId w:val="23"/>
        </w:numPr>
        <w:ind w:leftChars="0" w:left="709" w:hanging="283"/>
        <w:rPr>
          <w:lang w:val="en-US"/>
        </w:rPr>
      </w:pPr>
      <w:r w:rsidRPr="00593CAD">
        <w:rPr>
          <w:b/>
          <w:bCs/>
          <w:lang w:val="en-US"/>
        </w:rPr>
        <w:t>Rating:</w:t>
      </w:r>
      <w:r w:rsidRPr="00593CAD">
        <w:rPr>
          <w:lang w:val="en-US"/>
        </w:rPr>
        <w:t xml:space="preserve"> Moderate</w:t>
      </w:r>
    </w:p>
    <w:p w:rsidR="003E41B6" w:rsidRPr="00593CAD" w:rsidRDefault="003E41B6" w:rsidP="003E41B6">
      <w:pPr>
        <w:pStyle w:val="ListParagraph"/>
        <w:widowControl w:val="0"/>
        <w:numPr>
          <w:ilvl w:val="1"/>
          <w:numId w:val="23"/>
        </w:numPr>
        <w:ind w:leftChars="0" w:left="709" w:hanging="283"/>
        <w:rPr>
          <w:lang w:val="en-US"/>
        </w:rPr>
      </w:pPr>
      <w:r w:rsidRPr="00593CAD">
        <w:rPr>
          <w:b/>
          <w:bCs/>
          <w:lang w:val="en-US"/>
        </w:rPr>
        <w:t>Rationale:</w:t>
      </w:r>
      <w:r w:rsidRPr="00593CAD">
        <w:rPr>
          <w:lang w:val="en-US"/>
        </w:rPr>
        <w:t xml:space="preserve"> The study clearly defined inclusion and exclusion criteria (stage III–IV oral SCC, curative surgery, and postoperative CCRT). Patients with positive margins or incomplete therapy were excluded to ensure a homogeneous curative-intent cohort. There is no evidence that selection into the study was related to outcomes.</w:t>
      </w:r>
    </w:p>
    <w:p w:rsidR="003E41B6" w:rsidRPr="00593CAD" w:rsidRDefault="003E41B6" w:rsidP="003E41B6">
      <w:pPr>
        <w:widowControl w:val="0"/>
      </w:pPr>
    </w:p>
    <w:p w:rsidR="003E41B6" w:rsidRPr="00593CAD" w:rsidRDefault="003E41B6" w:rsidP="003E41B6">
      <w:pPr>
        <w:widowControl w:val="0"/>
        <w:rPr>
          <w:b/>
          <w:bCs/>
        </w:rPr>
      </w:pPr>
      <w:r w:rsidRPr="00593CAD">
        <w:rPr>
          <w:b/>
          <w:bCs/>
        </w:rPr>
        <w:t>3. Bias in classification of interventions</w:t>
      </w:r>
    </w:p>
    <w:p w:rsidR="003E41B6" w:rsidRDefault="003E41B6" w:rsidP="003E41B6">
      <w:pPr>
        <w:pStyle w:val="ListParagraph"/>
        <w:widowControl w:val="0"/>
        <w:numPr>
          <w:ilvl w:val="0"/>
          <w:numId w:val="24"/>
        </w:numPr>
        <w:ind w:leftChars="0"/>
        <w:rPr>
          <w:lang w:val="en-US"/>
        </w:rPr>
      </w:pPr>
      <w:r w:rsidRPr="00593CAD">
        <w:rPr>
          <w:b/>
          <w:bCs/>
          <w:lang w:val="en-US"/>
        </w:rPr>
        <w:t>Rating:</w:t>
      </w:r>
      <w:r w:rsidRPr="00593CAD">
        <w:rPr>
          <w:lang w:val="en-US"/>
        </w:rPr>
        <w:t xml:space="preserve"> Low</w:t>
      </w:r>
    </w:p>
    <w:p w:rsidR="003E41B6" w:rsidRPr="00593CAD" w:rsidRDefault="003E41B6" w:rsidP="003E41B6">
      <w:pPr>
        <w:pStyle w:val="ListParagraph"/>
        <w:widowControl w:val="0"/>
        <w:numPr>
          <w:ilvl w:val="0"/>
          <w:numId w:val="24"/>
        </w:numPr>
        <w:ind w:leftChars="0"/>
        <w:rPr>
          <w:lang w:val="en-US"/>
        </w:rPr>
      </w:pPr>
      <w:r w:rsidRPr="00593CAD">
        <w:rPr>
          <w:b/>
          <w:bCs/>
          <w:lang w:val="en-US"/>
        </w:rPr>
        <w:t>Rationale:</w:t>
      </w:r>
      <w:r w:rsidRPr="00593CAD">
        <w:rPr>
          <w:lang w:val="en-US"/>
        </w:rPr>
        <w:t xml:space="preserve"> Tegafur-uracil administration is a clearly defined, pharmacologic intervention, and assignment to this treatment was extracted from medical records. There is no indication of misclassification in how the intervention group and control group were categorized.</w:t>
      </w:r>
    </w:p>
    <w:p w:rsidR="003E41B6" w:rsidRPr="00593CAD" w:rsidRDefault="003E41B6" w:rsidP="003E41B6">
      <w:pPr>
        <w:widowControl w:val="0"/>
      </w:pPr>
    </w:p>
    <w:p w:rsidR="003E41B6" w:rsidRPr="00593CAD" w:rsidRDefault="003E41B6" w:rsidP="003E41B6">
      <w:pPr>
        <w:widowControl w:val="0"/>
        <w:rPr>
          <w:b/>
          <w:bCs/>
        </w:rPr>
      </w:pPr>
      <w:r w:rsidRPr="00593CAD">
        <w:rPr>
          <w:b/>
          <w:bCs/>
        </w:rPr>
        <w:t>4. Bias due to deviations from intended interventions</w:t>
      </w:r>
    </w:p>
    <w:p w:rsidR="003E41B6" w:rsidRPr="00593CAD" w:rsidRDefault="003E41B6" w:rsidP="003E41B6">
      <w:pPr>
        <w:pStyle w:val="ListParagraph"/>
        <w:widowControl w:val="0"/>
        <w:numPr>
          <w:ilvl w:val="0"/>
          <w:numId w:val="25"/>
        </w:numPr>
        <w:ind w:leftChars="0"/>
        <w:rPr>
          <w:lang w:val="en-US"/>
        </w:rPr>
      </w:pPr>
      <w:r w:rsidRPr="00593CAD">
        <w:rPr>
          <w:b/>
          <w:bCs/>
          <w:lang w:val="en-US"/>
        </w:rPr>
        <w:t>Rating:</w:t>
      </w:r>
      <w:r w:rsidRPr="00593CAD">
        <w:rPr>
          <w:lang w:val="en-US"/>
        </w:rPr>
        <w:t xml:space="preserve"> Moderate</w:t>
      </w:r>
    </w:p>
    <w:p w:rsidR="003E41B6" w:rsidRPr="00593CAD" w:rsidRDefault="003E41B6" w:rsidP="003E41B6">
      <w:pPr>
        <w:pStyle w:val="ListParagraph"/>
        <w:widowControl w:val="0"/>
        <w:numPr>
          <w:ilvl w:val="0"/>
          <w:numId w:val="25"/>
        </w:numPr>
        <w:ind w:leftChars="0"/>
        <w:rPr>
          <w:lang w:val="en-US"/>
        </w:rPr>
      </w:pPr>
      <w:r w:rsidRPr="00593CAD">
        <w:rPr>
          <w:b/>
          <w:bCs/>
          <w:lang w:val="en-US"/>
        </w:rPr>
        <w:t>Rationale:</w:t>
      </w:r>
      <w:r w:rsidRPr="00593CAD">
        <w:rPr>
          <w:lang w:val="en-US"/>
        </w:rPr>
        <w:t xml:space="preserve"> The duration and dose of tegafur-uracil varied across patients, with some receiving &lt;3 months and others ≥12 months, as well as variable dosing (100–400 mg/day). While the study reports survival benefits associated with longer duration and higher dose, it is unclear whether adherence to therapy was systematically measured or enforced. Additionally, patients may have stopped therapy due to adverse effects or clinical decisions.</w:t>
      </w:r>
    </w:p>
    <w:p w:rsidR="003E41B6" w:rsidRPr="00593CAD" w:rsidRDefault="003E41B6" w:rsidP="003E41B6">
      <w:pPr>
        <w:widowControl w:val="0"/>
      </w:pPr>
    </w:p>
    <w:p w:rsidR="003E41B6" w:rsidRPr="00593CAD" w:rsidRDefault="003E41B6" w:rsidP="003E41B6">
      <w:pPr>
        <w:widowControl w:val="0"/>
        <w:rPr>
          <w:b/>
          <w:bCs/>
        </w:rPr>
      </w:pPr>
      <w:r w:rsidRPr="00593CAD">
        <w:rPr>
          <w:b/>
          <w:bCs/>
        </w:rPr>
        <w:t>5. Bias due to missing data</w:t>
      </w:r>
    </w:p>
    <w:p w:rsidR="003E41B6" w:rsidRDefault="003E41B6" w:rsidP="003E41B6">
      <w:pPr>
        <w:pStyle w:val="ListParagraph"/>
        <w:widowControl w:val="0"/>
        <w:numPr>
          <w:ilvl w:val="0"/>
          <w:numId w:val="26"/>
        </w:numPr>
        <w:ind w:leftChars="0"/>
        <w:rPr>
          <w:lang w:val="en-US"/>
        </w:rPr>
      </w:pPr>
      <w:r w:rsidRPr="00593CAD">
        <w:rPr>
          <w:b/>
          <w:bCs/>
          <w:lang w:val="en-US"/>
        </w:rPr>
        <w:t>Rating:</w:t>
      </w:r>
      <w:r w:rsidRPr="00593CAD">
        <w:rPr>
          <w:lang w:val="en-US"/>
        </w:rPr>
        <w:t xml:space="preserve"> Low</w:t>
      </w:r>
    </w:p>
    <w:p w:rsidR="003E41B6" w:rsidRPr="00593CAD" w:rsidRDefault="003E41B6" w:rsidP="003E41B6">
      <w:pPr>
        <w:pStyle w:val="ListParagraph"/>
        <w:widowControl w:val="0"/>
        <w:numPr>
          <w:ilvl w:val="0"/>
          <w:numId w:val="26"/>
        </w:numPr>
        <w:ind w:leftChars="0"/>
        <w:rPr>
          <w:lang w:val="en-US"/>
        </w:rPr>
      </w:pPr>
      <w:r w:rsidRPr="00593CAD">
        <w:rPr>
          <w:b/>
          <w:bCs/>
          <w:lang w:val="en-US"/>
        </w:rPr>
        <w:t>Rationale:</w:t>
      </w:r>
      <w:r w:rsidRPr="00593CAD">
        <w:rPr>
          <w:lang w:val="en-US"/>
        </w:rPr>
        <w:t xml:space="preserve"> The study included 356 patients with complete follow-up for key outcomes (OS, DFS, DSS). The follow-up was until a specific date (December 2015), and no major losses to follow-up were reported. Outcome data appeared to be available for nearly all participants.</w:t>
      </w:r>
    </w:p>
    <w:p w:rsidR="003E41B6" w:rsidRPr="00593CAD" w:rsidRDefault="003E41B6" w:rsidP="003E41B6">
      <w:pPr>
        <w:widowControl w:val="0"/>
      </w:pPr>
    </w:p>
    <w:p w:rsidR="003E41B6" w:rsidRPr="00593CAD" w:rsidRDefault="003E41B6" w:rsidP="003E41B6">
      <w:pPr>
        <w:widowControl w:val="0"/>
        <w:rPr>
          <w:b/>
          <w:bCs/>
        </w:rPr>
      </w:pPr>
      <w:r w:rsidRPr="00593CAD">
        <w:rPr>
          <w:b/>
          <w:bCs/>
        </w:rPr>
        <w:t>6. Bias in measurement of outcomes</w:t>
      </w:r>
    </w:p>
    <w:p w:rsidR="003E41B6" w:rsidRDefault="003E41B6" w:rsidP="003E41B6">
      <w:pPr>
        <w:pStyle w:val="ListParagraph"/>
        <w:widowControl w:val="0"/>
        <w:numPr>
          <w:ilvl w:val="0"/>
          <w:numId w:val="27"/>
        </w:numPr>
        <w:ind w:leftChars="0"/>
        <w:rPr>
          <w:lang w:val="en-US"/>
        </w:rPr>
      </w:pPr>
      <w:r w:rsidRPr="00593CAD">
        <w:rPr>
          <w:b/>
          <w:bCs/>
          <w:lang w:val="en-US"/>
        </w:rPr>
        <w:t>Rating:</w:t>
      </w:r>
      <w:r w:rsidRPr="00593CAD">
        <w:rPr>
          <w:lang w:val="en-US"/>
        </w:rPr>
        <w:t xml:space="preserve"> Low</w:t>
      </w:r>
    </w:p>
    <w:p w:rsidR="003E41B6" w:rsidRPr="00593CAD" w:rsidRDefault="003E41B6" w:rsidP="003E41B6">
      <w:pPr>
        <w:pStyle w:val="ListParagraph"/>
        <w:widowControl w:val="0"/>
        <w:numPr>
          <w:ilvl w:val="0"/>
          <w:numId w:val="27"/>
        </w:numPr>
        <w:ind w:leftChars="0"/>
        <w:rPr>
          <w:lang w:val="en-US"/>
        </w:rPr>
      </w:pPr>
      <w:r w:rsidRPr="00593CAD">
        <w:rPr>
          <w:b/>
          <w:bCs/>
          <w:lang w:val="en-US"/>
        </w:rPr>
        <w:t>Rationale:</w:t>
      </w:r>
      <w:r w:rsidRPr="00593CAD">
        <w:rPr>
          <w:lang w:val="en-US"/>
        </w:rPr>
        <w:t xml:space="preserve"> Outcomes such as overall survival, disease-specific survival, and disease-free survival are objective and reliably measured using standard follow-up </w:t>
      </w:r>
      <w:r w:rsidRPr="00593CAD">
        <w:rPr>
          <w:lang w:val="en-US"/>
        </w:rPr>
        <w:lastRenderedPageBreak/>
        <w:t>and institutional records. There is no evidence of differential outcome assessment between groups.</w:t>
      </w:r>
    </w:p>
    <w:p w:rsidR="003E41B6" w:rsidRPr="00593CAD" w:rsidRDefault="003E41B6" w:rsidP="003E41B6">
      <w:pPr>
        <w:widowControl w:val="0"/>
      </w:pPr>
    </w:p>
    <w:p w:rsidR="003E41B6" w:rsidRPr="00593CAD" w:rsidRDefault="003E41B6" w:rsidP="003E41B6">
      <w:pPr>
        <w:widowControl w:val="0"/>
        <w:rPr>
          <w:b/>
          <w:bCs/>
        </w:rPr>
      </w:pPr>
      <w:r w:rsidRPr="00593CAD">
        <w:rPr>
          <w:b/>
          <w:bCs/>
        </w:rPr>
        <w:t>7. Bias in selection of the reported result</w:t>
      </w:r>
    </w:p>
    <w:p w:rsidR="003E41B6" w:rsidRDefault="003E41B6" w:rsidP="003E41B6">
      <w:pPr>
        <w:pStyle w:val="ListParagraph"/>
        <w:widowControl w:val="0"/>
        <w:numPr>
          <w:ilvl w:val="0"/>
          <w:numId w:val="28"/>
        </w:numPr>
        <w:ind w:leftChars="0"/>
        <w:rPr>
          <w:lang w:val="en-US"/>
        </w:rPr>
      </w:pPr>
      <w:r w:rsidRPr="00593CAD">
        <w:rPr>
          <w:b/>
          <w:bCs/>
          <w:lang w:val="en-US"/>
        </w:rPr>
        <w:t>Rating:</w:t>
      </w:r>
      <w:r w:rsidRPr="00593CAD">
        <w:rPr>
          <w:lang w:val="en-US"/>
        </w:rPr>
        <w:t xml:space="preserve"> Moderate</w:t>
      </w:r>
    </w:p>
    <w:p w:rsidR="003E41B6" w:rsidRPr="00593CAD" w:rsidRDefault="003E41B6" w:rsidP="003E41B6">
      <w:pPr>
        <w:pStyle w:val="ListParagraph"/>
        <w:widowControl w:val="0"/>
        <w:numPr>
          <w:ilvl w:val="0"/>
          <w:numId w:val="28"/>
        </w:numPr>
        <w:ind w:leftChars="0"/>
        <w:rPr>
          <w:lang w:val="en-US"/>
        </w:rPr>
      </w:pPr>
      <w:r w:rsidRPr="00593CAD">
        <w:rPr>
          <w:b/>
          <w:bCs/>
          <w:lang w:val="en-US"/>
        </w:rPr>
        <w:t>Rationale:</w:t>
      </w:r>
      <w:r w:rsidRPr="00593CAD">
        <w:rPr>
          <w:lang w:val="en-US"/>
        </w:rPr>
        <w:t xml:space="preserve"> While key results (OS, DFS, DSS, and metastasis rates) are clearly presented, the study is retrospective and may be prone to selective emphasis on favorable outcomes. Subgroup analyses by dose and duration of tegafur-uracil were reported without pre-specified plans, raising the possibility of data-driven reporting.</w:t>
      </w:r>
    </w:p>
    <w:p w:rsidR="003E41B6" w:rsidRPr="00593CAD" w:rsidRDefault="003E41B6" w:rsidP="003E41B6">
      <w:pPr>
        <w:widowControl w:val="0"/>
      </w:pPr>
    </w:p>
    <w:p w:rsidR="003E41B6" w:rsidRPr="00593CAD" w:rsidRDefault="003E41B6" w:rsidP="003E41B6">
      <w:pPr>
        <w:widowControl w:val="0"/>
        <w:rPr>
          <w:b/>
          <w:bCs/>
        </w:rPr>
      </w:pPr>
      <w:r w:rsidRPr="00593CAD">
        <w:rPr>
          <w:b/>
          <w:bCs/>
        </w:rPr>
        <w:t>Overall assessment</w:t>
      </w:r>
    </w:p>
    <w:p w:rsidR="003E41B6" w:rsidRDefault="003E41B6" w:rsidP="003E41B6">
      <w:pPr>
        <w:pStyle w:val="ListParagraph"/>
        <w:widowControl w:val="0"/>
        <w:numPr>
          <w:ilvl w:val="0"/>
          <w:numId w:val="29"/>
        </w:numPr>
        <w:ind w:leftChars="0"/>
        <w:rPr>
          <w:lang w:val="en-US"/>
        </w:rPr>
      </w:pPr>
      <w:r w:rsidRPr="00593CAD">
        <w:rPr>
          <w:b/>
          <w:bCs/>
          <w:lang w:val="en-US"/>
        </w:rPr>
        <w:t>Overall risk of bias:</w:t>
      </w:r>
      <w:r w:rsidRPr="00593CAD">
        <w:rPr>
          <w:lang w:val="en-US"/>
        </w:rPr>
        <w:t xml:space="preserve"> Serious</w:t>
      </w:r>
    </w:p>
    <w:p w:rsidR="003E41B6" w:rsidRPr="00593CAD" w:rsidRDefault="003E41B6" w:rsidP="003E41B6">
      <w:pPr>
        <w:pStyle w:val="ListParagraph"/>
        <w:widowControl w:val="0"/>
        <w:numPr>
          <w:ilvl w:val="0"/>
          <w:numId w:val="29"/>
        </w:numPr>
        <w:ind w:leftChars="0"/>
        <w:rPr>
          <w:lang w:val="en-US"/>
        </w:rPr>
      </w:pPr>
      <w:r w:rsidRPr="00593CAD">
        <w:rPr>
          <w:b/>
          <w:bCs/>
          <w:lang w:val="en-US"/>
        </w:rPr>
        <w:t>Rationale:</w:t>
      </w:r>
      <w:r w:rsidRPr="00593CAD">
        <w:rPr>
          <w:lang w:val="en-US"/>
        </w:rPr>
        <w:t xml:space="preserve"> Although the study benefits from a large cohort and detailed follow-up, its retrospective nature, potential for confounding, and post hoc subgroup analyses contribute to a serious risk of bias. The findings should be interpreted cautiously and would benefit from validation in a randomized controlled trial.</w:t>
      </w:r>
    </w:p>
    <w:p w:rsidR="003E41B6" w:rsidRPr="00F85C14" w:rsidRDefault="003E41B6" w:rsidP="003E41B6">
      <w:pPr>
        <w:widowControl w:val="0"/>
      </w:pPr>
    </w:p>
    <w:p w:rsidR="003E41B6" w:rsidRPr="001D7F80" w:rsidRDefault="003E41B6" w:rsidP="003E41B6">
      <w:pPr>
        <w:rPr>
          <w:b/>
          <w:bCs/>
        </w:rPr>
      </w:pPr>
      <w:r w:rsidRPr="001D7F80">
        <w:rPr>
          <w:b/>
          <w:bCs/>
        </w:rPr>
        <w:t xml:space="preserve">ROBINS-I Assessment for </w:t>
      </w:r>
      <w:r w:rsidRPr="000A61FA">
        <w:rPr>
          <w:b/>
          <w:bCs/>
          <w:sz w:val="20"/>
          <w:szCs w:val="20"/>
        </w:rPr>
        <w:t>Hsieh</w:t>
      </w:r>
      <w:r w:rsidRPr="005F2AA5">
        <w:rPr>
          <w:b/>
          <w:bCs/>
        </w:rPr>
        <w:t xml:space="preserve"> et al. (20</w:t>
      </w:r>
      <w:r>
        <w:rPr>
          <w:rFonts w:hint="eastAsia"/>
          <w:b/>
          <w:bCs/>
        </w:rPr>
        <w:t>25</w:t>
      </w:r>
      <w:r w:rsidRPr="005F2AA5">
        <w:rPr>
          <w:b/>
          <w:bCs/>
        </w:rPr>
        <w:t>)</w:t>
      </w:r>
    </w:p>
    <w:p w:rsidR="003E41B6" w:rsidRPr="00F85C14" w:rsidRDefault="003E41B6" w:rsidP="003E41B6">
      <w:pPr>
        <w:widowControl w:val="0"/>
      </w:pPr>
    </w:p>
    <w:p w:rsidR="003E41B6" w:rsidRPr="007F43EA" w:rsidRDefault="003E41B6" w:rsidP="003E41B6">
      <w:pPr>
        <w:widowControl w:val="0"/>
        <w:rPr>
          <w:b/>
          <w:bCs/>
        </w:rPr>
      </w:pPr>
      <w:r w:rsidRPr="007F43EA">
        <w:rPr>
          <w:b/>
          <w:bCs/>
        </w:rPr>
        <w:t>1. Bias due to confounding</w:t>
      </w:r>
    </w:p>
    <w:p w:rsidR="003E41B6" w:rsidRDefault="003E41B6" w:rsidP="003E41B6">
      <w:pPr>
        <w:pStyle w:val="ListParagraph"/>
        <w:widowControl w:val="0"/>
        <w:numPr>
          <w:ilvl w:val="0"/>
          <w:numId w:val="30"/>
        </w:numPr>
        <w:ind w:leftChars="0"/>
        <w:rPr>
          <w:lang w:val="en-US"/>
        </w:rPr>
      </w:pPr>
      <w:r w:rsidRPr="007F43EA">
        <w:rPr>
          <w:b/>
          <w:bCs/>
          <w:lang w:val="en-US"/>
        </w:rPr>
        <w:t>Rating:</w:t>
      </w:r>
      <w:r w:rsidRPr="007F43EA">
        <w:rPr>
          <w:lang w:val="en-US"/>
        </w:rPr>
        <w:t xml:space="preserve"> Moderate</w:t>
      </w:r>
    </w:p>
    <w:p w:rsidR="003E41B6" w:rsidRPr="007F43EA" w:rsidRDefault="003E41B6" w:rsidP="003E41B6">
      <w:pPr>
        <w:pStyle w:val="ListParagraph"/>
        <w:widowControl w:val="0"/>
        <w:numPr>
          <w:ilvl w:val="0"/>
          <w:numId w:val="30"/>
        </w:numPr>
        <w:ind w:leftChars="0"/>
        <w:rPr>
          <w:lang w:val="en-US"/>
        </w:rPr>
      </w:pPr>
      <w:r w:rsidRPr="007F43EA">
        <w:rPr>
          <w:b/>
          <w:bCs/>
          <w:lang w:val="en-US"/>
        </w:rPr>
        <w:t>Rationale:</w:t>
      </w:r>
      <w:r>
        <w:rPr>
          <w:rFonts w:hint="eastAsia"/>
          <w:b/>
          <w:bCs/>
          <w:lang w:val="en-US"/>
        </w:rPr>
        <w:t xml:space="preserve"> </w:t>
      </w:r>
      <w:r w:rsidRPr="007F43EA">
        <w:rPr>
          <w:lang w:val="en-US"/>
        </w:rPr>
        <w:t>This was a retrospective observational study. Although multivariable Cox regression was used to adjust for potential confounders such as gender, T stage, and UFUR maintenance, no propensity score matching or weighting methods were applied. Additionally, unmeasured confounders such as socioeconomic status and lifestyle factors were not accounted for. Therefore, there is a moderate risk of bias due to residual confounding.</w:t>
      </w:r>
    </w:p>
    <w:p w:rsidR="003E41B6" w:rsidRPr="007F43EA" w:rsidRDefault="003E41B6" w:rsidP="003E41B6">
      <w:pPr>
        <w:widowControl w:val="0"/>
      </w:pPr>
    </w:p>
    <w:p w:rsidR="003E41B6" w:rsidRPr="007F43EA" w:rsidRDefault="003E41B6" w:rsidP="003E41B6">
      <w:pPr>
        <w:widowControl w:val="0"/>
        <w:rPr>
          <w:b/>
          <w:bCs/>
        </w:rPr>
      </w:pPr>
      <w:r w:rsidRPr="007F43EA">
        <w:rPr>
          <w:b/>
          <w:bCs/>
        </w:rPr>
        <w:t>2. Bias in selection of participants</w:t>
      </w:r>
    </w:p>
    <w:p w:rsidR="003E41B6" w:rsidRDefault="003E41B6" w:rsidP="003E41B6">
      <w:pPr>
        <w:pStyle w:val="ListParagraph"/>
        <w:widowControl w:val="0"/>
        <w:numPr>
          <w:ilvl w:val="0"/>
          <w:numId w:val="31"/>
        </w:numPr>
        <w:ind w:leftChars="0"/>
        <w:rPr>
          <w:lang w:val="en-US"/>
        </w:rPr>
      </w:pPr>
      <w:r w:rsidRPr="007F43EA">
        <w:rPr>
          <w:b/>
          <w:bCs/>
          <w:lang w:val="en-US"/>
        </w:rPr>
        <w:t>Rating:</w:t>
      </w:r>
      <w:r w:rsidRPr="007F43EA">
        <w:rPr>
          <w:lang w:val="en-US"/>
        </w:rPr>
        <w:t xml:space="preserve"> Low</w:t>
      </w:r>
    </w:p>
    <w:p w:rsidR="003E41B6" w:rsidRPr="007F43EA" w:rsidRDefault="003E41B6" w:rsidP="003E41B6">
      <w:pPr>
        <w:pStyle w:val="ListParagraph"/>
        <w:widowControl w:val="0"/>
        <w:numPr>
          <w:ilvl w:val="0"/>
          <w:numId w:val="31"/>
        </w:numPr>
        <w:ind w:leftChars="0"/>
        <w:rPr>
          <w:lang w:val="en-US"/>
        </w:rPr>
      </w:pPr>
      <w:r w:rsidRPr="007F43EA">
        <w:rPr>
          <w:b/>
          <w:bCs/>
          <w:lang w:val="en-US"/>
        </w:rPr>
        <w:t>Rationale:</w:t>
      </w:r>
      <w:r>
        <w:rPr>
          <w:rFonts w:hint="eastAsia"/>
          <w:b/>
          <w:bCs/>
          <w:lang w:val="en-US"/>
        </w:rPr>
        <w:t xml:space="preserve"> </w:t>
      </w:r>
      <w:r w:rsidRPr="007F43EA">
        <w:rPr>
          <w:lang w:val="en-US"/>
        </w:rPr>
        <w:t>Inclusion and exclusion criteria were clearly defined. Only patients who completed definitive chemoradiotherapy without surgery or disease progression were enrolled. The two groups were evenly matched (212 patients each) and derived from multiple tertiary centers, minimizing selection bias.</w:t>
      </w:r>
    </w:p>
    <w:p w:rsidR="003E41B6" w:rsidRPr="007F43EA" w:rsidRDefault="003E41B6" w:rsidP="003E41B6">
      <w:pPr>
        <w:widowControl w:val="0"/>
      </w:pPr>
    </w:p>
    <w:p w:rsidR="003E41B6" w:rsidRPr="007F43EA" w:rsidRDefault="003E41B6" w:rsidP="003E41B6">
      <w:pPr>
        <w:widowControl w:val="0"/>
        <w:rPr>
          <w:b/>
          <w:bCs/>
        </w:rPr>
      </w:pPr>
      <w:r w:rsidRPr="007F43EA">
        <w:rPr>
          <w:b/>
          <w:bCs/>
        </w:rPr>
        <w:t>3. Bias in classification of interventions</w:t>
      </w:r>
    </w:p>
    <w:p w:rsidR="003E41B6" w:rsidRDefault="003E41B6" w:rsidP="003E41B6">
      <w:pPr>
        <w:pStyle w:val="ListParagraph"/>
        <w:widowControl w:val="0"/>
        <w:numPr>
          <w:ilvl w:val="0"/>
          <w:numId w:val="32"/>
        </w:numPr>
        <w:ind w:leftChars="0"/>
        <w:rPr>
          <w:lang w:val="en-US"/>
        </w:rPr>
      </w:pPr>
      <w:r w:rsidRPr="007F43EA">
        <w:rPr>
          <w:b/>
          <w:bCs/>
          <w:lang w:val="en-US"/>
        </w:rPr>
        <w:lastRenderedPageBreak/>
        <w:t>Rating:</w:t>
      </w:r>
      <w:r w:rsidRPr="007F43EA">
        <w:rPr>
          <w:lang w:val="en-US"/>
        </w:rPr>
        <w:t xml:space="preserve"> Low</w:t>
      </w:r>
    </w:p>
    <w:p w:rsidR="003E41B6" w:rsidRPr="007F43EA" w:rsidRDefault="003E41B6" w:rsidP="003E41B6">
      <w:pPr>
        <w:pStyle w:val="ListParagraph"/>
        <w:widowControl w:val="0"/>
        <w:numPr>
          <w:ilvl w:val="0"/>
          <w:numId w:val="32"/>
        </w:numPr>
        <w:ind w:leftChars="0"/>
        <w:rPr>
          <w:lang w:val="en-US"/>
        </w:rPr>
      </w:pPr>
      <w:r w:rsidRPr="007F43EA">
        <w:rPr>
          <w:b/>
          <w:bCs/>
          <w:lang w:val="en-US"/>
        </w:rPr>
        <w:t>Rationale:</w:t>
      </w:r>
      <w:r w:rsidRPr="007F43EA">
        <w:rPr>
          <w:rFonts w:hint="eastAsia"/>
          <w:b/>
          <w:bCs/>
          <w:lang w:val="en-US"/>
        </w:rPr>
        <w:t xml:space="preserve"> </w:t>
      </w:r>
      <w:r w:rsidRPr="007F43EA">
        <w:rPr>
          <w:lang w:val="en-US"/>
        </w:rPr>
        <w:t>The intervention (UFUR maintenance therapy) was clearly defined as oral tegafur 200 mg plus leucovorin 100 mg twice daily, initiated within 3 months after CCRT. Although assignment was non-randomized, group classification was based on clinical records, with a low risk of misclassification.</w:t>
      </w:r>
    </w:p>
    <w:p w:rsidR="003E41B6" w:rsidRPr="007F43EA" w:rsidRDefault="003E41B6" w:rsidP="003E41B6">
      <w:pPr>
        <w:widowControl w:val="0"/>
      </w:pPr>
    </w:p>
    <w:p w:rsidR="003E41B6" w:rsidRPr="007F43EA" w:rsidRDefault="003E41B6" w:rsidP="003E41B6">
      <w:pPr>
        <w:widowControl w:val="0"/>
        <w:rPr>
          <w:b/>
          <w:bCs/>
        </w:rPr>
      </w:pPr>
      <w:r w:rsidRPr="007F43EA">
        <w:rPr>
          <w:b/>
          <w:bCs/>
        </w:rPr>
        <w:t>4. Bias due to deviations from intended interventions</w:t>
      </w:r>
    </w:p>
    <w:p w:rsidR="003E41B6" w:rsidRDefault="003E41B6" w:rsidP="003E41B6">
      <w:pPr>
        <w:pStyle w:val="ListParagraph"/>
        <w:widowControl w:val="0"/>
        <w:numPr>
          <w:ilvl w:val="0"/>
          <w:numId w:val="33"/>
        </w:numPr>
        <w:ind w:leftChars="0"/>
        <w:rPr>
          <w:lang w:val="en-US"/>
        </w:rPr>
      </w:pPr>
      <w:r w:rsidRPr="007F43EA">
        <w:rPr>
          <w:b/>
          <w:bCs/>
          <w:lang w:val="en-US"/>
        </w:rPr>
        <w:t>Rating:</w:t>
      </w:r>
      <w:r w:rsidRPr="007F43EA">
        <w:rPr>
          <w:lang w:val="en-US"/>
        </w:rPr>
        <w:t xml:space="preserve"> Moderate</w:t>
      </w:r>
    </w:p>
    <w:p w:rsidR="003E41B6" w:rsidRPr="007F43EA" w:rsidRDefault="003E41B6" w:rsidP="003E41B6">
      <w:pPr>
        <w:pStyle w:val="ListParagraph"/>
        <w:widowControl w:val="0"/>
        <w:numPr>
          <w:ilvl w:val="0"/>
          <w:numId w:val="33"/>
        </w:numPr>
        <w:ind w:leftChars="0"/>
        <w:rPr>
          <w:lang w:val="en-US"/>
        </w:rPr>
      </w:pPr>
      <w:r w:rsidRPr="007F43EA">
        <w:rPr>
          <w:b/>
          <w:bCs/>
          <w:lang w:val="en-US"/>
        </w:rPr>
        <w:t>Rationale:</w:t>
      </w:r>
      <w:r>
        <w:rPr>
          <w:rFonts w:hint="eastAsia"/>
          <w:b/>
          <w:bCs/>
          <w:lang w:val="en-US"/>
        </w:rPr>
        <w:t xml:space="preserve"> </w:t>
      </w:r>
      <w:r w:rsidRPr="007F43EA">
        <w:rPr>
          <w:lang w:val="en-US"/>
        </w:rPr>
        <w:t>UFUR administration was determined by physician discretion, potentially influenced by age, performance status, or comorbidities. Adherence to the intended regimen was not closely monitored or reported, introducing a moderate risk of bias from deviations.</w:t>
      </w:r>
    </w:p>
    <w:p w:rsidR="003E41B6" w:rsidRPr="007F43EA" w:rsidRDefault="003E41B6" w:rsidP="003E41B6">
      <w:pPr>
        <w:widowControl w:val="0"/>
      </w:pPr>
    </w:p>
    <w:p w:rsidR="003E41B6" w:rsidRPr="007F43EA" w:rsidRDefault="003E41B6" w:rsidP="003E41B6">
      <w:pPr>
        <w:widowControl w:val="0"/>
        <w:rPr>
          <w:b/>
          <w:bCs/>
        </w:rPr>
      </w:pPr>
      <w:r w:rsidRPr="007F43EA">
        <w:rPr>
          <w:b/>
          <w:bCs/>
        </w:rPr>
        <w:t>5. Bias due to missing data</w:t>
      </w:r>
    </w:p>
    <w:p w:rsidR="003E41B6" w:rsidRDefault="003E41B6" w:rsidP="003E41B6">
      <w:pPr>
        <w:pStyle w:val="ListParagraph"/>
        <w:widowControl w:val="0"/>
        <w:numPr>
          <w:ilvl w:val="0"/>
          <w:numId w:val="34"/>
        </w:numPr>
        <w:ind w:leftChars="0"/>
        <w:rPr>
          <w:lang w:val="en-US"/>
        </w:rPr>
      </w:pPr>
      <w:r w:rsidRPr="007F43EA">
        <w:rPr>
          <w:b/>
          <w:bCs/>
          <w:lang w:val="en-US"/>
        </w:rPr>
        <w:t>Rating:</w:t>
      </w:r>
      <w:r w:rsidRPr="007F43EA">
        <w:rPr>
          <w:lang w:val="en-US"/>
        </w:rPr>
        <w:t xml:space="preserve"> Low</w:t>
      </w:r>
    </w:p>
    <w:p w:rsidR="003E41B6" w:rsidRPr="007F43EA" w:rsidRDefault="003E41B6" w:rsidP="003E41B6">
      <w:pPr>
        <w:pStyle w:val="ListParagraph"/>
        <w:widowControl w:val="0"/>
        <w:numPr>
          <w:ilvl w:val="0"/>
          <w:numId w:val="34"/>
        </w:numPr>
        <w:ind w:leftChars="0"/>
        <w:rPr>
          <w:lang w:val="en-US"/>
        </w:rPr>
      </w:pPr>
      <w:r w:rsidRPr="007F43EA">
        <w:rPr>
          <w:b/>
          <w:bCs/>
          <w:lang w:val="en-US"/>
        </w:rPr>
        <w:t>Rationale:</w:t>
      </w:r>
      <w:r>
        <w:rPr>
          <w:rFonts w:hint="eastAsia"/>
          <w:b/>
          <w:bCs/>
          <w:lang w:val="en-US"/>
        </w:rPr>
        <w:t xml:space="preserve"> </w:t>
      </w:r>
      <w:r w:rsidRPr="007F43EA">
        <w:rPr>
          <w:lang w:val="en-US"/>
        </w:rPr>
        <w:t>Although the study did not report missing data rates explicitly, patients lost to follow-up were excluded, and key outcomes (recurrence and death) were well documented. The influence of missing data on results appears minimal.</w:t>
      </w:r>
    </w:p>
    <w:p w:rsidR="003E41B6" w:rsidRPr="007F43EA" w:rsidRDefault="003E41B6" w:rsidP="003E41B6">
      <w:pPr>
        <w:widowControl w:val="0"/>
      </w:pPr>
    </w:p>
    <w:p w:rsidR="003E41B6" w:rsidRPr="007F43EA" w:rsidRDefault="003E41B6" w:rsidP="003E41B6">
      <w:pPr>
        <w:widowControl w:val="0"/>
        <w:rPr>
          <w:b/>
          <w:bCs/>
        </w:rPr>
      </w:pPr>
      <w:r w:rsidRPr="007F43EA">
        <w:rPr>
          <w:b/>
          <w:bCs/>
        </w:rPr>
        <w:t>6. Bias in measurement of outcomes</w:t>
      </w:r>
    </w:p>
    <w:p w:rsidR="003E41B6" w:rsidRDefault="003E41B6" w:rsidP="003E41B6">
      <w:pPr>
        <w:pStyle w:val="ListParagraph"/>
        <w:widowControl w:val="0"/>
        <w:numPr>
          <w:ilvl w:val="0"/>
          <w:numId w:val="35"/>
        </w:numPr>
        <w:ind w:leftChars="0"/>
        <w:rPr>
          <w:lang w:val="en-US"/>
        </w:rPr>
      </w:pPr>
      <w:r w:rsidRPr="007F43EA">
        <w:rPr>
          <w:b/>
          <w:bCs/>
          <w:lang w:val="en-US"/>
        </w:rPr>
        <w:t>Rating:</w:t>
      </w:r>
      <w:r w:rsidRPr="007F43EA">
        <w:rPr>
          <w:lang w:val="en-US"/>
        </w:rPr>
        <w:t xml:space="preserve"> Low</w:t>
      </w:r>
    </w:p>
    <w:p w:rsidR="003E41B6" w:rsidRPr="007F43EA" w:rsidRDefault="003E41B6" w:rsidP="003E41B6">
      <w:pPr>
        <w:pStyle w:val="ListParagraph"/>
        <w:widowControl w:val="0"/>
        <w:numPr>
          <w:ilvl w:val="0"/>
          <w:numId w:val="35"/>
        </w:numPr>
        <w:ind w:leftChars="0"/>
        <w:rPr>
          <w:lang w:val="en-US"/>
        </w:rPr>
      </w:pPr>
      <w:r w:rsidRPr="007F43EA">
        <w:rPr>
          <w:b/>
          <w:bCs/>
          <w:lang w:val="en-US"/>
        </w:rPr>
        <w:t>Rationale:</w:t>
      </w:r>
      <w:r>
        <w:rPr>
          <w:rFonts w:hint="eastAsia"/>
          <w:b/>
          <w:bCs/>
          <w:lang w:val="en-US"/>
        </w:rPr>
        <w:t xml:space="preserve"> </w:t>
      </w:r>
      <w:r w:rsidRPr="007F43EA">
        <w:rPr>
          <w:lang w:val="en-US"/>
        </w:rPr>
        <w:t>Outcome measures such as RFS, OS, LRFS, and DMFS were clearly defined and assessed using clinical records and imaging. Consistent measurement across both groups reduces the risk of detection bias.</w:t>
      </w:r>
    </w:p>
    <w:p w:rsidR="003E41B6" w:rsidRPr="007F43EA" w:rsidRDefault="003E41B6" w:rsidP="003E41B6">
      <w:pPr>
        <w:widowControl w:val="0"/>
      </w:pPr>
    </w:p>
    <w:p w:rsidR="003E41B6" w:rsidRPr="007F43EA" w:rsidRDefault="003E41B6" w:rsidP="003E41B6">
      <w:pPr>
        <w:widowControl w:val="0"/>
        <w:rPr>
          <w:b/>
          <w:bCs/>
        </w:rPr>
      </w:pPr>
      <w:r w:rsidRPr="007F43EA">
        <w:rPr>
          <w:b/>
          <w:bCs/>
        </w:rPr>
        <w:t>7. Bias in selection of the reported result</w:t>
      </w:r>
    </w:p>
    <w:p w:rsidR="003E41B6" w:rsidRDefault="003E41B6" w:rsidP="003E41B6">
      <w:pPr>
        <w:pStyle w:val="ListParagraph"/>
        <w:widowControl w:val="0"/>
        <w:numPr>
          <w:ilvl w:val="0"/>
          <w:numId w:val="36"/>
        </w:numPr>
        <w:ind w:leftChars="0"/>
        <w:rPr>
          <w:lang w:val="en-US"/>
        </w:rPr>
      </w:pPr>
      <w:r w:rsidRPr="007F43EA">
        <w:rPr>
          <w:b/>
          <w:bCs/>
          <w:lang w:val="en-US"/>
        </w:rPr>
        <w:t>Rating:</w:t>
      </w:r>
      <w:r w:rsidRPr="007F43EA">
        <w:rPr>
          <w:lang w:val="en-US"/>
        </w:rPr>
        <w:t xml:space="preserve"> </w:t>
      </w:r>
      <w:r>
        <w:rPr>
          <w:rFonts w:hint="eastAsia"/>
          <w:lang w:val="en-US"/>
        </w:rPr>
        <w:t>Low</w:t>
      </w:r>
    </w:p>
    <w:p w:rsidR="003E41B6" w:rsidRPr="007F43EA" w:rsidRDefault="003E41B6" w:rsidP="003E41B6">
      <w:pPr>
        <w:pStyle w:val="ListParagraph"/>
        <w:widowControl w:val="0"/>
        <w:numPr>
          <w:ilvl w:val="0"/>
          <w:numId w:val="36"/>
        </w:numPr>
        <w:ind w:leftChars="0"/>
        <w:rPr>
          <w:lang w:val="en-US"/>
        </w:rPr>
      </w:pPr>
      <w:r w:rsidRPr="007F43EA">
        <w:rPr>
          <w:b/>
          <w:bCs/>
          <w:lang w:val="en-US"/>
        </w:rPr>
        <w:t>Rationale:</w:t>
      </w:r>
      <w:r w:rsidRPr="007F43EA">
        <w:rPr>
          <w:rFonts w:hint="eastAsia"/>
          <w:b/>
          <w:bCs/>
          <w:lang w:val="en-US"/>
        </w:rPr>
        <w:t xml:space="preserve"> </w:t>
      </w:r>
      <w:r w:rsidRPr="007F43EA">
        <w:rPr>
          <w:lang w:val="en-US"/>
        </w:rPr>
        <w:t>The study reported multiple favorable outcomes without specifying whether a protocol was pre-registered or primary endpoints pre-defined. No sensitivity analyses were provided. This raises concerns about selective outcome reporting.</w:t>
      </w:r>
    </w:p>
    <w:p w:rsidR="003E41B6" w:rsidRPr="007F43EA" w:rsidRDefault="003E41B6" w:rsidP="003E41B6">
      <w:pPr>
        <w:widowControl w:val="0"/>
      </w:pPr>
    </w:p>
    <w:p w:rsidR="003E41B6" w:rsidRPr="007F43EA" w:rsidRDefault="003E41B6" w:rsidP="003E41B6">
      <w:pPr>
        <w:widowControl w:val="0"/>
        <w:rPr>
          <w:b/>
          <w:bCs/>
        </w:rPr>
      </w:pPr>
      <w:r w:rsidRPr="007F43EA">
        <w:rPr>
          <w:b/>
          <w:bCs/>
        </w:rPr>
        <w:t>Overall assessment</w:t>
      </w:r>
    </w:p>
    <w:p w:rsidR="003E41B6" w:rsidRDefault="003E41B6" w:rsidP="003E41B6">
      <w:pPr>
        <w:pStyle w:val="ListParagraph"/>
        <w:widowControl w:val="0"/>
        <w:numPr>
          <w:ilvl w:val="0"/>
          <w:numId w:val="37"/>
        </w:numPr>
        <w:ind w:leftChars="0"/>
        <w:rPr>
          <w:lang w:val="en-US"/>
        </w:rPr>
      </w:pPr>
      <w:r w:rsidRPr="007F43EA">
        <w:rPr>
          <w:b/>
          <w:bCs/>
          <w:lang w:val="en-US"/>
        </w:rPr>
        <w:t>Overall risk of bias:</w:t>
      </w:r>
      <w:r w:rsidRPr="007F43EA">
        <w:rPr>
          <w:lang w:val="en-US"/>
        </w:rPr>
        <w:t xml:space="preserve"> Moderate</w:t>
      </w:r>
    </w:p>
    <w:p w:rsidR="003E41B6" w:rsidRPr="007F43EA" w:rsidRDefault="003E41B6" w:rsidP="003E41B6">
      <w:pPr>
        <w:pStyle w:val="ListParagraph"/>
        <w:widowControl w:val="0"/>
        <w:numPr>
          <w:ilvl w:val="0"/>
          <w:numId w:val="37"/>
        </w:numPr>
        <w:ind w:leftChars="0"/>
        <w:rPr>
          <w:lang w:val="en-US"/>
        </w:rPr>
      </w:pPr>
      <w:r w:rsidRPr="007F43EA">
        <w:rPr>
          <w:b/>
          <w:bCs/>
          <w:lang w:val="en-US"/>
        </w:rPr>
        <w:t>Rationale:</w:t>
      </w:r>
      <w:r>
        <w:rPr>
          <w:rFonts w:hint="eastAsia"/>
          <w:b/>
          <w:bCs/>
          <w:lang w:val="en-US"/>
        </w:rPr>
        <w:t xml:space="preserve"> </w:t>
      </w:r>
      <w:r w:rsidRPr="007F43EA">
        <w:rPr>
          <w:lang w:val="en-US"/>
        </w:rPr>
        <w:t>Despite efforts to control known confounders and balanced baseline characteristics, the non-randomized design, lack of propensity score methods, and potential for selective reporting introduce a moderate overall risk of bias.</w:t>
      </w:r>
    </w:p>
    <w:p w:rsidR="003E41B6" w:rsidRPr="00F85C14" w:rsidRDefault="003E41B6" w:rsidP="003E41B6">
      <w:pPr>
        <w:widowControl w:val="0"/>
      </w:pPr>
    </w:p>
    <w:p w:rsidR="0016756F" w:rsidRDefault="003E41B6"/>
    <w:sectPr w:rsidR="0016756F" w:rsidSect="009112AA">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92BEE"/>
    <w:multiLevelType w:val="multilevel"/>
    <w:tmpl w:val="2A8A7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B67EB8"/>
    <w:multiLevelType w:val="multilevel"/>
    <w:tmpl w:val="7BF49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BA289B"/>
    <w:multiLevelType w:val="multilevel"/>
    <w:tmpl w:val="FE885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5220AF0"/>
    <w:multiLevelType w:val="multilevel"/>
    <w:tmpl w:val="88967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5A11AF5"/>
    <w:multiLevelType w:val="multilevel"/>
    <w:tmpl w:val="DF74F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A05091"/>
    <w:multiLevelType w:val="multilevel"/>
    <w:tmpl w:val="FC32A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893413"/>
    <w:multiLevelType w:val="multilevel"/>
    <w:tmpl w:val="E6CA8F1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heme="minorEastAsia" w:hAnsi="Times New Roman" w:cs="Times New Roman"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3945362"/>
    <w:multiLevelType w:val="multilevel"/>
    <w:tmpl w:val="5FBE7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4F54143"/>
    <w:multiLevelType w:val="multilevel"/>
    <w:tmpl w:val="E6CA8F1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heme="minorEastAsia" w:hAnsi="Times New Roman" w:cs="Times New Roman"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603283C"/>
    <w:multiLevelType w:val="multilevel"/>
    <w:tmpl w:val="8D7A1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6765197"/>
    <w:multiLevelType w:val="multilevel"/>
    <w:tmpl w:val="E6CA8F1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heme="minorEastAsia" w:hAnsi="Times New Roman" w:cs="Times New Roman"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7233EE2"/>
    <w:multiLevelType w:val="multilevel"/>
    <w:tmpl w:val="41E42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85F27AB"/>
    <w:multiLevelType w:val="multilevel"/>
    <w:tmpl w:val="E6CA8F1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heme="minorEastAsia" w:hAnsi="Times New Roman" w:cs="Times New Roman"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A804787"/>
    <w:multiLevelType w:val="multilevel"/>
    <w:tmpl w:val="E6CA8F1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heme="minorEastAsia" w:hAnsi="Times New Roman" w:cs="Times New Roman"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3E966B4"/>
    <w:multiLevelType w:val="multilevel"/>
    <w:tmpl w:val="E6CA8F1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heme="minorEastAsia" w:hAnsi="Times New Roman" w:cs="Times New Roman"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4B903DC"/>
    <w:multiLevelType w:val="multilevel"/>
    <w:tmpl w:val="827C3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96E23BC"/>
    <w:multiLevelType w:val="multilevel"/>
    <w:tmpl w:val="28F24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C8408C2"/>
    <w:multiLevelType w:val="multilevel"/>
    <w:tmpl w:val="4C360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4321772"/>
    <w:multiLevelType w:val="multilevel"/>
    <w:tmpl w:val="5762B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973316B"/>
    <w:multiLevelType w:val="multilevel"/>
    <w:tmpl w:val="E6CA8F1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heme="minorEastAsia" w:hAnsi="Times New Roman" w:cs="Times New Roman"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A9F1939"/>
    <w:multiLevelType w:val="multilevel"/>
    <w:tmpl w:val="88548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CD628FA"/>
    <w:multiLevelType w:val="multilevel"/>
    <w:tmpl w:val="E6CA8F1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heme="minorEastAsia" w:hAnsi="Times New Roman" w:cs="Times New Roman"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4650DAC"/>
    <w:multiLevelType w:val="multilevel"/>
    <w:tmpl w:val="E6CA8F1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heme="minorEastAsia" w:hAnsi="Times New Roman" w:cs="Times New Roman"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ACC358C"/>
    <w:multiLevelType w:val="multilevel"/>
    <w:tmpl w:val="E6CA8F1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heme="minorEastAsia" w:hAnsi="Times New Roman" w:cs="Times New Roman"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3703B75"/>
    <w:multiLevelType w:val="multilevel"/>
    <w:tmpl w:val="5EFA1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8B322DB"/>
    <w:multiLevelType w:val="multilevel"/>
    <w:tmpl w:val="E6CA8F1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heme="minorEastAsia" w:hAnsi="Times New Roman" w:cs="Times New Roman"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B854CC5"/>
    <w:multiLevelType w:val="multilevel"/>
    <w:tmpl w:val="E6CA8F1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heme="minorEastAsia" w:hAnsi="Times New Roman" w:cs="Times New Roman"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040478B"/>
    <w:multiLevelType w:val="multilevel"/>
    <w:tmpl w:val="B6A8E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25D59AA"/>
    <w:multiLevelType w:val="multilevel"/>
    <w:tmpl w:val="29643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5B51832"/>
    <w:multiLevelType w:val="multilevel"/>
    <w:tmpl w:val="E6CA8F1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heme="minorEastAsia" w:hAnsi="Times New Roman" w:cs="Times New Roman"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B1303D7"/>
    <w:multiLevelType w:val="multilevel"/>
    <w:tmpl w:val="E6CA8F1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heme="minorEastAsia" w:hAnsi="Times New Roman" w:cs="Times New Roman"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C7B7979"/>
    <w:multiLevelType w:val="multilevel"/>
    <w:tmpl w:val="E6CA8F1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heme="minorEastAsia" w:hAnsi="Times New Roman" w:cs="Times New Roman"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050069F"/>
    <w:multiLevelType w:val="multilevel"/>
    <w:tmpl w:val="81588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3945197"/>
    <w:multiLevelType w:val="multilevel"/>
    <w:tmpl w:val="AE823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39F606A"/>
    <w:multiLevelType w:val="multilevel"/>
    <w:tmpl w:val="E6CA8F1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heme="minorEastAsia" w:hAnsi="Times New Roman" w:cs="Times New Roman"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74E4228"/>
    <w:multiLevelType w:val="multilevel"/>
    <w:tmpl w:val="E6CA8F1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heme="minorEastAsia" w:hAnsi="Times New Roman" w:cs="Times New Roman"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9DD6F0B"/>
    <w:multiLevelType w:val="multilevel"/>
    <w:tmpl w:val="8B6AC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6"/>
  </w:num>
  <w:num w:numId="2">
    <w:abstractNumId w:val="5"/>
  </w:num>
  <w:num w:numId="3">
    <w:abstractNumId w:val="28"/>
  </w:num>
  <w:num w:numId="4">
    <w:abstractNumId w:val="18"/>
  </w:num>
  <w:num w:numId="5">
    <w:abstractNumId w:val="16"/>
  </w:num>
  <w:num w:numId="6">
    <w:abstractNumId w:val="15"/>
  </w:num>
  <w:num w:numId="7">
    <w:abstractNumId w:val="0"/>
  </w:num>
  <w:num w:numId="8">
    <w:abstractNumId w:val="9"/>
  </w:num>
  <w:num w:numId="9">
    <w:abstractNumId w:val="3"/>
  </w:num>
  <w:num w:numId="10">
    <w:abstractNumId w:val="2"/>
  </w:num>
  <w:num w:numId="11">
    <w:abstractNumId w:val="33"/>
  </w:num>
  <w:num w:numId="12">
    <w:abstractNumId w:val="4"/>
  </w:num>
  <w:num w:numId="13">
    <w:abstractNumId w:val="32"/>
  </w:num>
  <w:num w:numId="14">
    <w:abstractNumId w:val="20"/>
  </w:num>
  <w:num w:numId="15">
    <w:abstractNumId w:val="27"/>
  </w:num>
  <w:num w:numId="16">
    <w:abstractNumId w:val="1"/>
  </w:num>
  <w:num w:numId="17">
    <w:abstractNumId w:val="7"/>
  </w:num>
  <w:num w:numId="18">
    <w:abstractNumId w:val="17"/>
  </w:num>
  <w:num w:numId="19">
    <w:abstractNumId w:val="11"/>
  </w:num>
  <w:num w:numId="20">
    <w:abstractNumId w:val="8"/>
  </w:num>
  <w:num w:numId="21">
    <w:abstractNumId w:val="24"/>
  </w:num>
  <w:num w:numId="22">
    <w:abstractNumId w:val="34"/>
  </w:num>
  <w:num w:numId="23">
    <w:abstractNumId w:val="14"/>
  </w:num>
  <w:num w:numId="24">
    <w:abstractNumId w:val="10"/>
  </w:num>
  <w:num w:numId="25">
    <w:abstractNumId w:val="30"/>
  </w:num>
  <w:num w:numId="26">
    <w:abstractNumId w:val="29"/>
  </w:num>
  <w:num w:numId="27">
    <w:abstractNumId w:val="13"/>
  </w:num>
  <w:num w:numId="28">
    <w:abstractNumId w:val="31"/>
  </w:num>
  <w:num w:numId="29">
    <w:abstractNumId w:val="35"/>
  </w:num>
  <w:num w:numId="30">
    <w:abstractNumId w:val="6"/>
  </w:num>
  <w:num w:numId="31">
    <w:abstractNumId w:val="21"/>
  </w:num>
  <w:num w:numId="32">
    <w:abstractNumId w:val="25"/>
  </w:num>
  <w:num w:numId="33">
    <w:abstractNumId w:val="23"/>
  </w:num>
  <w:num w:numId="34">
    <w:abstractNumId w:val="19"/>
  </w:num>
  <w:num w:numId="35">
    <w:abstractNumId w:val="22"/>
  </w:num>
  <w:num w:numId="36">
    <w:abstractNumId w:val="12"/>
  </w:num>
  <w:num w:numId="37">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DisplayPageBoundaries/>
  <w:defaultTabStop w:val="720"/>
  <w:characterSpacingControl w:val="doNotCompress"/>
  <w:compat>
    <w:useFELayout/>
  </w:compat>
  <w:rsids>
    <w:rsidRoot w:val="003E41B6"/>
    <w:rsid w:val="001855EF"/>
    <w:rsid w:val="001C3DEE"/>
    <w:rsid w:val="002207C3"/>
    <w:rsid w:val="002F2EBB"/>
    <w:rsid w:val="00331F01"/>
    <w:rsid w:val="003C12BA"/>
    <w:rsid w:val="003E41B6"/>
    <w:rsid w:val="003F15C8"/>
    <w:rsid w:val="0082299C"/>
    <w:rsid w:val="0082406F"/>
    <w:rsid w:val="009112AA"/>
    <w:rsid w:val="00A3284F"/>
    <w:rsid w:val="00AB14C5"/>
    <w:rsid w:val="00B94CB9"/>
    <w:rsid w:val="00BC349D"/>
    <w:rsid w:val="00CA52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12A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41B6"/>
    <w:pPr>
      <w:pBdr>
        <w:top w:val="nil"/>
        <w:left w:val="nil"/>
        <w:bottom w:val="nil"/>
        <w:right w:val="nil"/>
        <w:between w:val="nil"/>
        <w:bar w:val="nil"/>
      </w:pBdr>
      <w:spacing w:after="0" w:line="240" w:lineRule="auto"/>
      <w:ind w:leftChars="200" w:left="480"/>
    </w:pPr>
    <w:rPr>
      <w:rFonts w:ascii="Times New Roman" w:eastAsiaTheme="minorEastAsia" w:hAnsi="Times New Roman" w:cs="Arial Unicode MS"/>
      <w:color w:val="000000"/>
      <w:sz w:val="24"/>
      <w:szCs w:val="24"/>
      <w:u w:color="000000"/>
      <w:bdr w:val="nil"/>
      <w:lang w:val="da-DK" w:eastAsia="zh-TW"/>
    </w:rPr>
  </w:style>
  <w:style w:type="table" w:styleId="TableGrid">
    <w:name w:val="Table Grid"/>
    <w:basedOn w:val="TableNormal"/>
    <w:uiPriority w:val="39"/>
    <w:rsid w:val="003E41B6"/>
    <w:pPr>
      <w:spacing w:after="0" w:line="240" w:lineRule="auto"/>
    </w:pPr>
    <w:rPr>
      <w:rFonts w:ascii="Times New Roman" w:eastAsiaTheme="minorEastAsia" w:hAnsi="Times New Roman" w:cs="Times New Roman"/>
      <w:sz w:val="24"/>
      <w:szCs w:val="24"/>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2745</Words>
  <Characters>15652</Characters>
  <Application>Microsoft Office Word</Application>
  <DocSecurity>0</DocSecurity>
  <Lines>130</Lines>
  <Paragraphs>36</Paragraphs>
  <ScaleCrop>false</ScaleCrop>
  <Company/>
  <LinksUpToDate>false</LinksUpToDate>
  <CharactersWithSpaces>18361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Adminstrator</dc:creator>
  <cp:lastModifiedBy>Adminstrator</cp:lastModifiedBy>
  <cp:revision>1</cp:revision>
  <dcterms:created xsi:type="dcterms:W3CDTF">2025-10-13T02:57:00Z</dcterms:created>
  <dcterms:modified xsi:type="dcterms:W3CDTF">2025-10-13T02:57:00Z</dcterms:modified>
</cp:coreProperties>
</file>