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134D" w14:textId="77777777" w:rsidR="004B073C" w:rsidRDefault="004B073C" w:rsidP="004B073C">
      <w:pPr>
        <w:adjustRightInd w:val="0"/>
        <w:snapToGrid w:val="0"/>
        <w:spacing w:line="240" w:lineRule="atLeast"/>
        <w:jc w:val="both"/>
        <w:rPr>
          <w:rFonts w:ascii="Arial Nova Cond" w:hAnsi="Arial Nova Cond"/>
        </w:rPr>
      </w:pPr>
    </w:p>
    <w:p w14:paraId="768B3920" w14:textId="77777777" w:rsidR="004B073C" w:rsidRDefault="004B073C" w:rsidP="004B073C">
      <w:pPr>
        <w:adjustRightInd w:val="0"/>
        <w:snapToGrid w:val="0"/>
        <w:spacing w:line="240" w:lineRule="atLeast"/>
        <w:jc w:val="both"/>
        <w:rPr>
          <w:rFonts w:ascii="Arial Nova Cond" w:hAnsi="Arial Nova Cond"/>
          <w:b/>
          <w:bCs/>
          <w:sz w:val="24"/>
        </w:rPr>
      </w:pPr>
      <w:r>
        <w:rPr>
          <w:rFonts w:ascii="Arial Nova Cond" w:hAnsi="Arial Nova Cond"/>
          <w:b/>
          <w:bCs/>
          <w:noProof/>
          <w:sz w:val="24"/>
        </w:rPr>
        <w:drawing>
          <wp:anchor distT="0" distB="0" distL="114300" distR="114300" simplePos="0" relativeHeight="251660288" behindDoc="0" locked="0" layoutInCell="1" allowOverlap="1" wp14:anchorId="58F9A9CB" wp14:editId="7CF3B4C6">
            <wp:simplePos x="0" y="0"/>
            <wp:positionH relativeFrom="column">
              <wp:posOffset>0</wp:posOffset>
            </wp:positionH>
            <wp:positionV relativeFrom="paragraph">
              <wp:posOffset>200513</wp:posOffset>
            </wp:positionV>
            <wp:extent cx="6119495" cy="2912745"/>
            <wp:effectExtent l="0" t="0" r="0" b="1905"/>
            <wp:wrapSquare wrapText="bothSides"/>
            <wp:docPr id="6929448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041">
        <w:rPr>
          <w:rFonts w:ascii="Arial Nova Cond" w:hAnsi="Arial Nova Cond" w:hint="eastAsia"/>
          <w:b/>
          <w:bCs/>
          <w:sz w:val="24"/>
        </w:rPr>
        <w:t>A</w:t>
      </w:r>
    </w:p>
    <w:p w14:paraId="561B7DC1" w14:textId="77777777" w:rsidR="004B073C" w:rsidRPr="00F466F7" w:rsidRDefault="004B073C" w:rsidP="004B073C">
      <w:pPr>
        <w:adjustRightInd w:val="0"/>
        <w:snapToGrid w:val="0"/>
        <w:spacing w:line="240" w:lineRule="atLeast"/>
        <w:jc w:val="both"/>
        <w:rPr>
          <w:rFonts w:ascii="Arial Nova Cond" w:hAnsi="Arial Nova Cond"/>
          <w:b/>
          <w:bCs/>
          <w:sz w:val="24"/>
        </w:rPr>
      </w:pPr>
      <w:r>
        <w:rPr>
          <w:rFonts w:ascii="Arial Nova Cond" w:hAnsi="Arial Nova Cond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2C6AFC94" wp14:editId="1F687BEE">
            <wp:simplePos x="0" y="0"/>
            <wp:positionH relativeFrom="column">
              <wp:posOffset>0</wp:posOffset>
            </wp:positionH>
            <wp:positionV relativeFrom="paragraph">
              <wp:posOffset>3122783</wp:posOffset>
            </wp:positionV>
            <wp:extent cx="6114415" cy="2544445"/>
            <wp:effectExtent l="0" t="0" r="635" b="8255"/>
            <wp:wrapSquare wrapText="bothSides"/>
            <wp:docPr id="47472508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6F7">
        <w:rPr>
          <w:rFonts w:ascii="Arial Nova Cond" w:hAnsi="Arial Nova Cond" w:hint="eastAsia"/>
          <w:b/>
          <w:bCs/>
          <w:sz w:val="24"/>
        </w:rPr>
        <w:t>B</w:t>
      </w:r>
    </w:p>
    <w:p w14:paraId="77B43C23" w14:textId="14D00F44" w:rsidR="004B073C" w:rsidRPr="004D1C0D" w:rsidRDefault="004B073C" w:rsidP="004B073C">
      <w:pPr>
        <w:adjustRightInd w:val="0"/>
        <w:snapToGrid w:val="0"/>
        <w:spacing w:line="240" w:lineRule="atLeast"/>
        <w:jc w:val="both"/>
        <w:rPr>
          <w:rFonts w:ascii="Arial Nova Cond" w:hAnsi="Arial Nova Cond"/>
          <w:sz w:val="22"/>
          <w:szCs w:val="22"/>
        </w:rPr>
      </w:pPr>
      <w:r w:rsidRPr="00F466F7">
        <w:rPr>
          <w:rFonts w:ascii="Arial Nova Cond" w:hAnsi="Arial Nova Cond" w:hint="eastAsia"/>
          <w:b/>
          <w:bCs/>
          <w:sz w:val="22"/>
          <w:szCs w:val="22"/>
        </w:rPr>
        <w:t>Suppl</w:t>
      </w:r>
      <w:r w:rsidR="00550723">
        <w:rPr>
          <w:rFonts w:ascii="Arial Nova Cond" w:hAnsi="Arial Nova Cond" w:hint="eastAsia"/>
          <w:b/>
          <w:bCs/>
          <w:sz w:val="22"/>
          <w:szCs w:val="22"/>
          <w:lang w:eastAsia="zh-CN"/>
        </w:rPr>
        <w:t xml:space="preserve"> </w:t>
      </w:r>
      <w:r>
        <w:rPr>
          <w:rFonts w:ascii="Arial Nova Cond" w:eastAsia="等线" w:hAnsi="Arial Nova Cond" w:hint="eastAsia"/>
          <w:b/>
          <w:bCs/>
          <w:sz w:val="22"/>
          <w:szCs w:val="22"/>
          <w:lang w:eastAsia="zh-CN"/>
        </w:rPr>
        <w:t>4</w:t>
      </w:r>
      <w:r w:rsidRPr="00F466F7">
        <w:rPr>
          <w:rFonts w:ascii="Arial Nova Cond" w:hAnsi="Arial Nova Cond" w:hint="eastAsia"/>
          <w:b/>
          <w:bCs/>
          <w:sz w:val="22"/>
          <w:szCs w:val="22"/>
        </w:rPr>
        <w:t xml:space="preserve">. </w:t>
      </w:r>
      <w:r w:rsidRPr="00F466F7">
        <w:rPr>
          <w:rFonts w:ascii="Arial Nova Cond" w:hAnsi="Arial Nova Cond"/>
          <w:sz w:val="22"/>
          <w:szCs w:val="22"/>
        </w:rPr>
        <w:t>T</w:t>
      </w:r>
      <w:r w:rsidRPr="00F466F7">
        <w:rPr>
          <w:rFonts w:ascii="Arial Nova Cond" w:hAnsi="Arial Nova Cond" w:hint="eastAsia"/>
          <w:sz w:val="22"/>
          <w:szCs w:val="22"/>
        </w:rPr>
        <w:t>he SDHB G642T variant</w:t>
      </w:r>
      <w:r w:rsidRPr="00F466F7">
        <w:rPr>
          <w:rFonts w:ascii="Arial Nova Cond" w:hAnsi="Arial Nova Cond"/>
          <w:sz w:val="22"/>
          <w:szCs w:val="22"/>
        </w:rPr>
        <w:t xml:space="preserve"> is unable to bind to th</w:t>
      </w:r>
      <w:r w:rsidRPr="00F466F7">
        <w:rPr>
          <w:rFonts w:ascii="Arial Nova Cond" w:hAnsi="Arial Nova Cond" w:hint="eastAsia"/>
          <w:sz w:val="22"/>
          <w:szCs w:val="22"/>
        </w:rPr>
        <w:t>e SDAF</w:t>
      </w:r>
      <w:r>
        <w:rPr>
          <w:rFonts w:ascii="Arial Nova Cond" w:hAnsi="Arial Nova Cond" w:hint="eastAsia"/>
          <w:sz w:val="22"/>
          <w:szCs w:val="22"/>
        </w:rPr>
        <w:t>2</w:t>
      </w:r>
      <w:r w:rsidRPr="00F466F7">
        <w:rPr>
          <w:rFonts w:ascii="Arial Nova Cond" w:hAnsi="Arial Nova Cond"/>
          <w:sz w:val="22"/>
          <w:szCs w:val="22"/>
        </w:rPr>
        <w:t xml:space="preserve"> due to the mutation. Therefore, this mutant cannot perform its normal function</w:t>
      </w:r>
      <w:r>
        <w:rPr>
          <w:rFonts w:ascii="Arial Nova Cond" w:hAnsi="Arial Nova Cond" w:hint="eastAsia"/>
          <w:sz w:val="22"/>
          <w:szCs w:val="22"/>
        </w:rPr>
        <w:t>.</w:t>
      </w:r>
      <w:r w:rsidRPr="00036059">
        <w:rPr>
          <w:rFonts w:ascii="Arial Nova Cond" w:hAnsi="Arial Nova Cond" w:hint="eastAsia"/>
          <w:sz w:val="22"/>
          <w:szCs w:val="22"/>
        </w:rPr>
        <w:t xml:space="preserve"> </w:t>
      </w:r>
      <w:r w:rsidRPr="00036059">
        <w:rPr>
          <w:rFonts w:ascii="Arial Nova Cond" w:hAnsi="Arial Nova Cond" w:hint="eastAsia"/>
          <w:b/>
          <w:bCs/>
          <w:sz w:val="22"/>
          <w:szCs w:val="22"/>
        </w:rPr>
        <w:t>A</w:t>
      </w:r>
      <w:r w:rsidRPr="00F466F7">
        <w:rPr>
          <w:rFonts w:ascii="Arial Nova Cond" w:hAnsi="Arial Nova Cond" w:hint="eastAsia"/>
          <w:sz w:val="22"/>
          <w:szCs w:val="22"/>
        </w:rPr>
        <w:t xml:space="preserve">. </w:t>
      </w:r>
      <w:r w:rsidRPr="00F466F7">
        <w:rPr>
          <w:rFonts w:ascii="Arial Nova Cond" w:hAnsi="Arial Nova Cond"/>
          <w:sz w:val="22"/>
          <w:szCs w:val="22"/>
        </w:rPr>
        <w:t xml:space="preserve">The exocytosis of SDHB and the region where the structural domain is located are described. SDHAF2 is a regulatory factor that acts as a chaperone protein for SDH and assists in the normal assembly and stabilization of the enzyme complex. </w:t>
      </w:r>
      <w:r w:rsidRPr="00F466F7">
        <w:rPr>
          <w:rFonts w:ascii="Arial Nova Cond" w:hAnsi="Arial Nova Cond" w:hint="eastAsia"/>
          <w:sz w:val="22"/>
          <w:szCs w:val="22"/>
        </w:rPr>
        <w:t>T</w:t>
      </w:r>
      <w:r w:rsidRPr="00F466F7">
        <w:rPr>
          <w:rFonts w:ascii="Arial Nova Cond" w:hAnsi="Arial Nova Cond"/>
          <w:sz w:val="22"/>
          <w:szCs w:val="22"/>
        </w:rPr>
        <w:t>he structural domain of SDHB binds to SDHAF2 and recruits the Fe-S family proteins to form a complex that helps to regulate the activity of SDH and to carry out the ensuing reactions, such as redox and electron transfer.</w:t>
      </w:r>
      <w:r>
        <w:rPr>
          <w:rFonts w:ascii="Arial Nova Cond" w:hAnsi="Arial Nova Cond" w:hint="eastAsia"/>
          <w:sz w:val="22"/>
          <w:szCs w:val="22"/>
        </w:rPr>
        <w:t xml:space="preserve"> </w:t>
      </w:r>
      <w:r w:rsidRPr="006D33CC">
        <w:rPr>
          <w:rFonts w:ascii="Arial Nova Cond" w:hAnsi="Arial Nova Cond" w:hint="eastAsia"/>
          <w:b/>
          <w:bCs/>
          <w:sz w:val="22"/>
          <w:szCs w:val="22"/>
        </w:rPr>
        <w:t>B.</w:t>
      </w:r>
      <w:r>
        <w:rPr>
          <w:rFonts w:ascii="Arial Nova Cond" w:hAnsi="Arial Nova Cond" w:hint="eastAsia"/>
          <w:sz w:val="22"/>
          <w:szCs w:val="22"/>
        </w:rPr>
        <w:t xml:space="preserve"> </w:t>
      </w:r>
      <w:r w:rsidRPr="00F55011">
        <w:rPr>
          <w:rFonts w:ascii="Arial Nova Cond" w:hAnsi="Arial Nova Cond"/>
          <w:sz w:val="22"/>
          <w:szCs w:val="22"/>
        </w:rPr>
        <w:t>To examine the extent to which the binding ability between SHDB and SDAF1 is affected by the glutamine-to-histidine mutation, we performed in silico analysis.</w:t>
      </w:r>
      <w:r>
        <w:rPr>
          <w:rFonts w:ascii="Arial Nova Cond" w:hAnsi="Arial Nova Cond" w:hint="eastAsia"/>
          <w:sz w:val="22"/>
          <w:szCs w:val="22"/>
        </w:rPr>
        <w:t xml:space="preserve"> </w:t>
      </w:r>
      <w:r w:rsidRPr="006D33CC">
        <w:rPr>
          <w:rFonts w:ascii="Arial Nova Cond" w:hAnsi="Arial Nova Cond"/>
          <w:sz w:val="22"/>
          <w:szCs w:val="22"/>
        </w:rPr>
        <w:t>To examine the extent to which the binding a</w:t>
      </w:r>
      <w:r w:rsidRPr="004D1C0D">
        <w:rPr>
          <w:rFonts w:ascii="Arial Nova Cond" w:hAnsi="Arial Nova Cond"/>
          <w:sz w:val="22"/>
          <w:szCs w:val="22"/>
        </w:rPr>
        <w:t xml:space="preserve">bility between SHDB and SDAF1 is affected by the glutamine-to-histidine mutation, we performed </w:t>
      </w:r>
      <w:r w:rsidRPr="004D1C0D">
        <w:rPr>
          <w:rFonts w:ascii="Arial Nova Cond" w:hAnsi="Arial Nova Cond"/>
          <w:i/>
          <w:iCs/>
          <w:sz w:val="22"/>
          <w:szCs w:val="22"/>
        </w:rPr>
        <w:t>in silico</w:t>
      </w:r>
      <w:r w:rsidRPr="004D1C0D">
        <w:rPr>
          <w:rFonts w:ascii="Arial Nova Cond" w:hAnsi="Arial Nova Cond"/>
          <w:sz w:val="22"/>
          <w:szCs w:val="22"/>
        </w:rPr>
        <w:t xml:space="preserve"> analysis.</w:t>
      </w:r>
      <w:r w:rsidRPr="004D1C0D">
        <w:rPr>
          <w:rFonts w:ascii="Arial Nova Cond" w:hAnsi="Arial Nova Cond" w:hint="eastAsia"/>
          <w:sz w:val="22"/>
          <w:szCs w:val="22"/>
        </w:rPr>
        <w:t xml:space="preserve"> </w:t>
      </w:r>
      <w:r w:rsidRPr="004D1C0D">
        <w:rPr>
          <w:rFonts w:ascii="Arial Nova Cond" w:hAnsi="Arial Nova Cond"/>
          <w:i/>
          <w:iCs/>
          <w:sz w:val="22"/>
          <w:szCs w:val="22"/>
        </w:rPr>
        <w:t>In silico</w:t>
      </w:r>
      <w:r w:rsidRPr="004D1C0D">
        <w:rPr>
          <w:rFonts w:ascii="Arial Nova Cond" w:hAnsi="Arial Nova Cond"/>
          <w:sz w:val="22"/>
          <w:szCs w:val="22"/>
        </w:rPr>
        <w:t xml:space="preserve"> analysis showed that glutamine 214 of SHDB has affinity for histidine 156 of SDAF2.</w:t>
      </w:r>
      <w:r w:rsidRPr="004D1C0D">
        <w:rPr>
          <w:rFonts w:ascii="Arial Nova Cond" w:hAnsi="Arial Nova Cond" w:hint="eastAsia"/>
          <w:sz w:val="22"/>
          <w:szCs w:val="22"/>
        </w:rPr>
        <w:t xml:space="preserve"> </w:t>
      </w:r>
      <w:r w:rsidRPr="004D1C0D">
        <w:rPr>
          <w:rFonts w:ascii="Arial Nova Cond" w:hAnsi="Arial Nova Cond"/>
          <w:sz w:val="22"/>
          <w:szCs w:val="22"/>
        </w:rPr>
        <w:t>The affinity between glutamine 214 of SHDB and tyrosine 156 of SDAF2 was found to be -17.93 Kcal/mol.</w:t>
      </w:r>
      <w:r w:rsidRPr="004D1C0D">
        <w:rPr>
          <w:rFonts w:ascii="Arial Nova Cond" w:hAnsi="Arial Nova Cond" w:hint="eastAsia"/>
          <w:sz w:val="22"/>
          <w:szCs w:val="22"/>
        </w:rPr>
        <w:t xml:space="preserve"> </w:t>
      </w:r>
      <w:r w:rsidRPr="004D1C0D">
        <w:rPr>
          <w:rFonts w:ascii="Arial Nova Cond" w:hAnsi="Arial Nova Cond"/>
          <w:sz w:val="22"/>
          <w:szCs w:val="22"/>
        </w:rPr>
        <w:t>On the other hand,</w:t>
      </w:r>
      <w:r w:rsidRPr="004D1C0D">
        <w:rPr>
          <w:rFonts w:ascii="Arial Nova Cond" w:hAnsi="Arial Nova Cond" w:hint="eastAsia"/>
          <w:sz w:val="22"/>
          <w:szCs w:val="22"/>
        </w:rPr>
        <w:t xml:space="preserve"> although</w:t>
      </w:r>
      <w:r w:rsidRPr="004D1C0D">
        <w:rPr>
          <w:rFonts w:ascii="Arial Nova Cond" w:hAnsi="Arial Nova Cond"/>
          <w:sz w:val="22"/>
          <w:szCs w:val="22"/>
        </w:rPr>
        <w:t xml:space="preserve"> the histidine 214 of the SHDB mutant has affinity for the tyrosine 156 of SDAF2,</w:t>
      </w:r>
      <w:r w:rsidRPr="004D1C0D">
        <w:rPr>
          <w:rFonts w:ascii="Arial Nova Cond" w:hAnsi="Arial Nova Cond" w:hint="eastAsia"/>
          <w:sz w:val="22"/>
          <w:szCs w:val="22"/>
        </w:rPr>
        <w:t xml:space="preserve"> t</w:t>
      </w:r>
      <w:r w:rsidRPr="004D1C0D">
        <w:rPr>
          <w:rFonts w:ascii="Arial Nova Cond" w:hAnsi="Arial Nova Cond"/>
          <w:sz w:val="22"/>
          <w:szCs w:val="22"/>
        </w:rPr>
        <w:t>he affinity between histidine 214 of SHDB and tyrosine 156 of SDAF2 was found to be weak, at -6.31 Kcal/mol.</w:t>
      </w:r>
      <w:r w:rsidRPr="004D1C0D">
        <w:rPr>
          <w:rFonts w:ascii="Arial Nova Cond" w:hAnsi="Arial Nova Cond" w:hint="eastAsia"/>
          <w:sz w:val="22"/>
          <w:szCs w:val="22"/>
        </w:rPr>
        <w:t xml:space="preserve"> </w:t>
      </w:r>
      <w:r w:rsidRPr="004D1C0D">
        <w:rPr>
          <w:rFonts w:ascii="Arial Nova Cond" w:hAnsi="Arial Nova Cond"/>
          <w:sz w:val="22"/>
          <w:szCs w:val="22"/>
        </w:rPr>
        <w:t xml:space="preserve">In other words, the results of </w:t>
      </w:r>
      <w:r w:rsidRPr="004D1C0D">
        <w:rPr>
          <w:rFonts w:ascii="Arial Nova Cond" w:hAnsi="Arial Nova Cond"/>
          <w:i/>
          <w:iCs/>
          <w:sz w:val="22"/>
          <w:szCs w:val="22"/>
        </w:rPr>
        <w:t>in silico</w:t>
      </w:r>
      <w:r w:rsidRPr="004D1C0D">
        <w:rPr>
          <w:rFonts w:ascii="Arial Nova Cond" w:hAnsi="Arial Nova Cond"/>
          <w:sz w:val="22"/>
          <w:szCs w:val="22"/>
        </w:rPr>
        <w:t xml:space="preserve"> analysis revealed that the SHDB 214His mutant may have a much weaker binding affinity to SDAF2 than the wild-</w:t>
      </w:r>
      <w:r w:rsidRPr="004D1C0D">
        <w:rPr>
          <w:rFonts w:ascii="Arial Nova Cond" w:hAnsi="Arial Nova Cond"/>
          <w:sz w:val="22"/>
          <w:szCs w:val="22"/>
        </w:rPr>
        <w:lastRenderedPageBreak/>
        <w:t>type SHDB.</w:t>
      </w:r>
    </w:p>
    <w:p w14:paraId="5874018D" w14:textId="77777777" w:rsidR="004B073C" w:rsidRPr="004D1C0D" w:rsidRDefault="004B073C" w:rsidP="004B073C">
      <w:pPr>
        <w:adjustRightInd w:val="0"/>
        <w:snapToGrid w:val="0"/>
        <w:spacing w:line="240" w:lineRule="atLeast"/>
        <w:jc w:val="both"/>
        <w:rPr>
          <w:rFonts w:ascii="Arial Nova Cond" w:hAnsi="Arial Nova Cond"/>
          <w:sz w:val="22"/>
          <w:szCs w:val="22"/>
        </w:rPr>
      </w:pPr>
    </w:p>
    <w:p w14:paraId="756C5B5B" w14:textId="77777777" w:rsidR="004B073C" w:rsidRDefault="004B073C" w:rsidP="004B073C">
      <w:pPr>
        <w:adjustRightInd w:val="0"/>
        <w:snapToGrid w:val="0"/>
        <w:spacing w:line="240" w:lineRule="atLeast"/>
        <w:jc w:val="both"/>
        <w:rPr>
          <w:rFonts w:ascii="Arial Nova Cond" w:hAnsi="Arial Nova Cond"/>
        </w:rPr>
      </w:pPr>
    </w:p>
    <w:p w14:paraId="75A7E737" w14:textId="77777777" w:rsidR="009E48E0" w:rsidRPr="004B073C" w:rsidRDefault="009E48E0">
      <w:pPr>
        <w:rPr>
          <w:rFonts w:hint="eastAsia"/>
        </w:rPr>
      </w:pPr>
    </w:p>
    <w:sectPr w:rsidR="009E48E0" w:rsidRPr="004B0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DABA1" w14:textId="77777777" w:rsidR="00C061A4" w:rsidRDefault="00C061A4" w:rsidP="00550723">
      <w:pPr>
        <w:rPr>
          <w:rFonts w:hint="eastAsia"/>
        </w:rPr>
      </w:pPr>
      <w:r>
        <w:separator/>
      </w:r>
    </w:p>
  </w:endnote>
  <w:endnote w:type="continuationSeparator" w:id="0">
    <w:p w14:paraId="088D0E35" w14:textId="77777777" w:rsidR="00C061A4" w:rsidRDefault="00C061A4" w:rsidP="005507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9D5CB" w14:textId="77777777" w:rsidR="00C061A4" w:rsidRDefault="00C061A4" w:rsidP="00550723">
      <w:pPr>
        <w:rPr>
          <w:rFonts w:hint="eastAsia"/>
        </w:rPr>
      </w:pPr>
      <w:r>
        <w:separator/>
      </w:r>
    </w:p>
  </w:footnote>
  <w:footnote w:type="continuationSeparator" w:id="0">
    <w:p w14:paraId="3707ADC4" w14:textId="77777777" w:rsidR="00C061A4" w:rsidRDefault="00C061A4" w:rsidP="0055072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3C"/>
    <w:rsid w:val="000B736A"/>
    <w:rsid w:val="004B073C"/>
    <w:rsid w:val="00550723"/>
    <w:rsid w:val="00922E90"/>
    <w:rsid w:val="009E48E0"/>
    <w:rsid w:val="00C061A4"/>
    <w:rsid w:val="00D673D8"/>
    <w:rsid w:val="00D976D7"/>
    <w:rsid w:val="00EC2B8D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F5F82"/>
  <w15:chartTrackingRefBased/>
  <w15:docId w15:val="{11AE6B8B-7FD0-4648-93F4-38565B66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73C"/>
    <w:pPr>
      <w:widowControl w:val="0"/>
    </w:pPr>
    <w:rPr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4B073C"/>
    <w:pPr>
      <w:keepNext/>
      <w:keepLines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73C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73C"/>
    <w:pPr>
      <w:keepNext/>
      <w:keepLines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073C"/>
    <w:pPr>
      <w:keepNext/>
      <w:keepLines/>
      <w:spacing w:before="80" w:after="40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73C"/>
    <w:pPr>
      <w:keepNext/>
      <w:keepLines/>
      <w:spacing w:before="80" w:after="40"/>
      <w:jc w:val="both"/>
      <w:outlineLvl w:val="4"/>
    </w:pPr>
    <w:rPr>
      <w:rFonts w:cstheme="majorBidi"/>
      <w:color w:val="2F5496" w:themeColor="accent1" w:themeShade="BF"/>
      <w:sz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073C"/>
    <w:pPr>
      <w:keepNext/>
      <w:keepLines/>
      <w:spacing w:before="40"/>
      <w:jc w:val="both"/>
      <w:outlineLvl w:val="5"/>
    </w:pPr>
    <w:rPr>
      <w:rFonts w:cstheme="majorBidi"/>
      <w:b/>
      <w:bCs/>
      <w:color w:val="2F5496" w:themeColor="accent1" w:themeShade="BF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73C"/>
    <w:pPr>
      <w:keepNext/>
      <w:keepLines/>
      <w:spacing w:before="40"/>
      <w:jc w:val="both"/>
      <w:outlineLvl w:val="6"/>
    </w:pPr>
    <w:rPr>
      <w:rFonts w:cstheme="majorBidi"/>
      <w:b/>
      <w:bCs/>
      <w:color w:val="595959" w:themeColor="text1" w:themeTint="A6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073C"/>
    <w:pPr>
      <w:keepNext/>
      <w:keepLines/>
      <w:jc w:val="both"/>
      <w:outlineLvl w:val="7"/>
    </w:pPr>
    <w:rPr>
      <w:rFonts w:cstheme="majorBidi"/>
      <w:color w:val="595959" w:themeColor="text1" w:themeTint="A6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073C"/>
    <w:pPr>
      <w:keepNext/>
      <w:keepLines/>
      <w:jc w:val="both"/>
      <w:outlineLvl w:val="8"/>
    </w:pPr>
    <w:rPr>
      <w:rFonts w:eastAsiaTheme="majorEastAsia" w:cstheme="majorBidi"/>
      <w:color w:val="595959" w:themeColor="text1" w:themeTint="A6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07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07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073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07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07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07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07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07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4B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07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4B07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073C"/>
    <w:pPr>
      <w:spacing w:before="160" w:after="160"/>
      <w:jc w:val="center"/>
    </w:pPr>
    <w:rPr>
      <w:i/>
      <w:iCs/>
      <w:color w:val="404040" w:themeColor="text1" w:themeTint="BF"/>
      <w:szCs w:val="22"/>
      <w:lang w:eastAsia="zh-CN"/>
    </w:rPr>
  </w:style>
  <w:style w:type="character" w:customStyle="1" w:styleId="a8">
    <w:name w:val="引用 字符"/>
    <w:basedOn w:val="a0"/>
    <w:link w:val="a7"/>
    <w:uiPriority w:val="29"/>
    <w:rsid w:val="004B07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073C"/>
    <w:pPr>
      <w:ind w:left="720"/>
      <w:contextualSpacing/>
      <w:jc w:val="both"/>
    </w:pPr>
    <w:rPr>
      <w:szCs w:val="22"/>
      <w:lang w:eastAsia="zh-CN"/>
    </w:rPr>
  </w:style>
  <w:style w:type="character" w:styleId="aa">
    <w:name w:val="Intense Emphasis"/>
    <w:basedOn w:val="a0"/>
    <w:uiPriority w:val="21"/>
    <w:qFormat/>
    <w:rsid w:val="004B07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0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  <w:lang w:eastAsia="zh-CN"/>
    </w:rPr>
  </w:style>
  <w:style w:type="character" w:customStyle="1" w:styleId="ac">
    <w:name w:val="明显引用 字符"/>
    <w:basedOn w:val="a0"/>
    <w:link w:val="ab"/>
    <w:uiPriority w:val="30"/>
    <w:rsid w:val="004B07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B073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507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50723"/>
    <w:rPr>
      <w:sz w:val="18"/>
      <w:szCs w:val="18"/>
      <w:lang w:eastAsia="ja-JP"/>
    </w:rPr>
  </w:style>
  <w:style w:type="paragraph" w:styleId="af0">
    <w:name w:val="footer"/>
    <w:basedOn w:val="a"/>
    <w:link w:val="af1"/>
    <w:uiPriority w:val="99"/>
    <w:unhideWhenUsed/>
    <w:rsid w:val="0055072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50723"/>
    <w:rPr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2025-08-17T07:54:00Z</dcterms:created>
  <dcterms:modified xsi:type="dcterms:W3CDTF">2025-08-18T05:27:00Z</dcterms:modified>
</cp:coreProperties>
</file>