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2919" w14:textId="77777777" w:rsidR="008B4A53" w:rsidRPr="003D1CB4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  <w:sz w:val="24"/>
        </w:rPr>
      </w:pPr>
    </w:p>
    <w:p w14:paraId="1B9B7EBF" w14:textId="77777777" w:rsidR="008B4A53" w:rsidRPr="002E08AE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  <w:b/>
          <w:bCs/>
          <w:sz w:val="24"/>
        </w:rPr>
      </w:pPr>
      <w:r w:rsidRPr="002E08AE">
        <w:rPr>
          <w:rFonts w:ascii="Arial Nova Cond" w:hAnsi="Arial Nova Cond" w:hint="eastAsia"/>
          <w:b/>
          <w:bCs/>
          <w:sz w:val="24"/>
        </w:rPr>
        <w:t>A</w:t>
      </w:r>
    </w:p>
    <w:p w14:paraId="375A36FC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  <w:noProof/>
        </w:rPr>
      </w:pPr>
      <w:r w:rsidRPr="002E08AE">
        <w:rPr>
          <w:rFonts w:ascii="Arial Nova Cond" w:hAnsi="Arial Nova Cond"/>
          <w:noProof/>
          <w:sz w:val="16"/>
          <w:szCs w:val="16"/>
        </w:rPr>
        <w:drawing>
          <wp:inline distT="0" distB="0" distL="0" distR="0" wp14:anchorId="1C834731" wp14:editId="734EDA78">
            <wp:extent cx="5726723" cy="1543684"/>
            <wp:effectExtent l="0" t="0" r="0" b="0"/>
            <wp:docPr id="32" name="図 31">
              <a:extLst xmlns:a="http://schemas.openxmlformats.org/drawingml/2006/main">
                <a:ext uri="{FF2B5EF4-FFF2-40B4-BE49-F238E27FC236}">
                  <a16:creationId xmlns:a16="http://schemas.microsoft.com/office/drawing/2014/main" id="{DF42353D-1A29-0DD3-63EC-E692DEF92C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1">
                      <a:extLst>
                        <a:ext uri="{FF2B5EF4-FFF2-40B4-BE49-F238E27FC236}">
                          <a16:creationId xmlns:a16="http://schemas.microsoft.com/office/drawing/2014/main" id="{DF42353D-1A29-0DD3-63EC-E692DEF92C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l="24609" t="29053" r="13316" b="41193"/>
                    <a:stretch>
                      <a:fillRect/>
                    </a:stretch>
                  </pic:blipFill>
                  <pic:spPr>
                    <a:xfrm>
                      <a:off x="0" y="0"/>
                      <a:ext cx="5737122" cy="154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33F8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  <w:b/>
          <w:bCs/>
          <w:sz w:val="24"/>
        </w:rPr>
      </w:pPr>
      <w:r>
        <w:rPr>
          <w:rFonts w:ascii="Arial Nova Cond" w:hAnsi="Arial Nova Cond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33202C39" wp14:editId="744D5FA5">
            <wp:simplePos x="0" y="0"/>
            <wp:positionH relativeFrom="column">
              <wp:posOffset>635</wp:posOffset>
            </wp:positionH>
            <wp:positionV relativeFrom="paragraph">
              <wp:posOffset>185420</wp:posOffset>
            </wp:positionV>
            <wp:extent cx="2256155" cy="2376805"/>
            <wp:effectExtent l="0" t="0" r="0" b="4445"/>
            <wp:wrapSquare wrapText="bothSides"/>
            <wp:docPr id="1622470054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70054" name="図 1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8AE">
        <w:rPr>
          <w:rFonts w:ascii="Arial Nova Cond" w:hAnsi="Arial Nova Cond" w:hint="eastAsia"/>
          <w:b/>
          <w:bCs/>
          <w:sz w:val="24"/>
        </w:rPr>
        <w:t>B</w:t>
      </w:r>
    </w:p>
    <w:p w14:paraId="58628370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5659516D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3B95B876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79D255FD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1539C3EC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641DF5B2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6C679A02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5D8C3197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6657593A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4006EB13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64750C0B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795C0185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59B3515D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4F4534FA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2D0E2CA5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eastAsia="等线" w:hAnsi="Arial Nova Cond"/>
          <w:b/>
          <w:bCs/>
          <w:sz w:val="22"/>
          <w:szCs w:val="22"/>
          <w:lang w:eastAsia="zh-CN"/>
        </w:rPr>
      </w:pPr>
    </w:p>
    <w:p w14:paraId="13D376E8" w14:textId="77777777" w:rsidR="008B4A53" w:rsidRPr="00F10041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  <w:sz w:val="22"/>
          <w:szCs w:val="22"/>
        </w:rPr>
      </w:pPr>
      <w:r w:rsidRPr="00F10041">
        <w:rPr>
          <w:rFonts w:ascii="Arial Nova Cond" w:hAnsi="Arial Nova Cond" w:hint="eastAsia"/>
          <w:b/>
          <w:bCs/>
          <w:sz w:val="22"/>
          <w:szCs w:val="22"/>
        </w:rPr>
        <w:t>Suppl</w:t>
      </w:r>
      <w:r>
        <w:rPr>
          <w:rFonts w:ascii="Arial Nova Cond" w:eastAsia="等线" w:hAnsi="Arial Nova Cond" w:hint="eastAsia"/>
          <w:b/>
          <w:bCs/>
          <w:sz w:val="22"/>
          <w:szCs w:val="22"/>
          <w:lang w:eastAsia="zh-CN"/>
        </w:rPr>
        <w:t xml:space="preserve"> 2</w:t>
      </w:r>
      <w:r w:rsidRPr="00F10041">
        <w:rPr>
          <w:rFonts w:ascii="Arial Nova Cond" w:hAnsi="Arial Nova Cond" w:hint="eastAsia"/>
          <w:b/>
          <w:bCs/>
          <w:sz w:val="22"/>
          <w:szCs w:val="22"/>
        </w:rPr>
        <w:t>.</w:t>
      </w:r>
      <w:r w:rsidRPr="00F10041">
        <w:rPr>
          <w:rFonts w:ascii="Arial Nova Cond" w:hAnsi="Arial Nova Cond" w:hint="eastAsia"/>
          <w:sz w:val="22"/>
          <w:szCs w:val="22"/>
        </w:rPr>
        <w:t xml:space="preserve"> </w:t>
      </w:r>
      <w:r w:rsidRPr="00F10041">
        <w:rPr>
          <w:rFonts w:ascii="Arial Nova Cond" w:hAnsi="Arial Nova Cond"/>
          <w:sz w:val="22"/>
          <w:szCs w:val="22"/>
        </w:rPr>
        <w:t xml:space="preserve">The structure and functional sites of KRAS. </w:t>
      </w:r>
      <w:r w:rsidRPr="002E08AE">
        <w:rPr>
          <w:rFonts w:ascii="Arial Nova Cond" w:hAnsi="Arial Nova Cond" w:hint="eastAsia"/>
          <w:b/>
          <w:bCs/>
          <w:sz w:val="22"/>
          <w:szCs w:val="22"/>
        </w:rPr>
        <w:t>A.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F10041">
        <w:rPr>
          <w:rFonts w:ascii="Arial Nova Cond" w:hAnsi="Arial Nova Cond"/>
          <w:sz w:val="22"/>
          <w:szCs w:val="22"/>
        </w:rPr>
        <w:t xml:space="preserve">Crystal structure of KRAS in the active </w:t>
      </w:r>
      <w:proofErr w:type="spellStart"/>
      <w:r w:rsidRPr="00F10041">
        <w:rPr>
          <w:rFonts w:ascii="Arial Nova Cond" w:hAnsi="Arial Nova Cond"/>
          <w:sz w:val="22"/>
          <w:szCs w:val="22"/>
        </w:rPr>
        <w:t>GTPγS</w:t>
      </w:r>
      <w:proofErr w:type="spellEnd"/>
      <w:r w:rsidRPr="00F10041">
        <w:rPr>
          <w:rFonts w:ascii="Arial Nova Cond" w:hAnsi="Arial Nova Cond"/>
          <w:sz w:val="22"/>
          <w:szCs w:val="22"/>
        </w:rPr>
        <w:t xml:space="preserve"> (a non-</w:t>
      </w:r>
      <w:proofErr w:type="spellStart"/>
      <w:r w:rsidRPr="00F10041">
        <w:rPr>
          <w:rFonts w:ascii="Arial Nova Cond" w:hAnsi="Arial Nova Cond"/>
          <w:sz w:val="22"/>
          <w:szCs w:val="22"/>
        </w:rPr>
        <w:t>hydrolyzable</w:t>
      </w:r>
      <w:proofErr w:type="spellEnd"/>
      <w:r w:rsidRPr="00F10041">
        <w:rPr>
          <w:rFonts w:ascii="Arial Nova Cond" w:hAnsi="Arial Nova Cond"/>
          <w:sz w:val="22"/>
          <w:szCs w:val="22"/>
        </w:rPr>
        <w:t xml:space="preserve"> GTP analog)-bound state (PDB ID: 4DSO). Schematic of functional sites of KRAS. KRAS dimerization involves several different ‘α4–α5’ surfaces, as determined using NMR and X-ray crystallography, and the β-sheet region including Switch I and II sites binds to RAS effectors (e.g., RAF, PI3Kγ) or regulators (e.g., GAP, GEF). The amino acid sequence of KRAS. Residues 12, 13, and 61, whose single-point mutations are associated with many human cancers</w:t>
      </w:r>
      <w:r w:rsidRPr="00F10041">
        <w:rPr>
          <w:rFonts w:ascii="Arial Nova Cond" w:hAnsi="Arial Nova Cond" w:hint="eastAsia"/>
          <w:sz w:val="22"/>
          <w:szCs w:val="22"/>
        </w:rPr>
        <w:t xml:space="preserve"> and malignant tumors</w:t>
      </w:r>
      <w:r w:rsidRPr="00F10041">
        <w:rPr>
          <w:rFonts w:ascii="Arial Nova Cond" w:hAnsi="Arial Nova Cond"/>
          <w:sz w:val="22"/>
          <w:szCs w:val="22"/>
        </w:rPr>
        <w:t>, are indicated as black arrows. Secondary structure content is indicated at the bottom of the sequence with α-helices (blue) and β-strands (yellow). Nucleotide binds to a conserved phosphate-binding loop (P-loop comprising residues 10–17, green). Switch I (residues 30–40) and Switch II (residues 58–72) regions and disordered C-terminal polybasic region (PBR, residues 172–184) are colored red, violet, and blue, respectively.</w:t>
      </w:r>
      <w:r w:rsidRPr="00F10041">
        <w:rPr>
          <w:rFonts w:ascii="Arial Nova Cond" w:hAnsi="Arial Nova Cond" w:hint="eastAsia"/>
          <w:sz w:val="22"/>
          <w:szCs w:val="22"/>
        </w:rPr>
        <w:t xml:space="preserve"> </w:t>
      </w:r>
      <w:r w:rsidRPr="00F10041">
        <w:rPr>
          <w:rFonts w:ascii="Arial Nova Cond" w:hAnsi="Arial Nova Cond"/>
          <w:sz w:val="22"/>
          <w:szCs w:val="22"/>
        </w:rPr>
        <w:t xml:space="preserve">The K-RAS 61K mutant lacks amino acids 62 and onward, so it does not bind to BRAF or MEK. Therefore, </w:t>
      </w:r>
      <w:r w:rsidRPr="00F10041">
        <w:rPr>
          <w:rFonts w:ascii="Arial Nova Cond" w:hAnsi="Arial Nova Cond" w:hint="eastAsia"/>
          <w:sz w:val="22"/>
          <w:szCs w:val="22"/>
        </w:rPr>
        <w:t>K-RAS 61K variant</w:t>
      </w:r>
      <w:r w:rsidRPr="00F10041">
        <w:rPr>
          <w:rFonts w:ascii="Arial Nova Cond" w:hAnsi="Arial Nova Cond"/>
          <w:sz w:val="22"/>
          <w:szCs w:val="22"/>
        </w:rPr>
        <w:t xml:space="preserve"> cannot</w:t>
      </w:r>
      <w:r w:rsidRPr="00F10041">
        <w:rPr>
          <w:rFonts w:ascii="Arial Nova Cond" w:hAnsi="Arial Nova Cond" w:hint="eastAsia"/>
          <w:sz w:val="22"/>
          <w:szCs w:val="22"/>
        </w:rPr>
        <w:t xml:space="preserve"> induce EGFR </w:t>
      </w:r>
      <w:r w:rsidRPr="00F10041">
        <w:rPr>
          <w:rFonts w:ascii="Arial Nova Cond" w:hAnsi="Arial Nova Cond"/>
          <w:sz w:val="22"/>
          <w:szCs w:val="22"/>
        </w:rPr>
        <w:t>signa</w:t>
      </w:r>
      <w:r w:rsidRPr="00F10041">
        <w:rPr>
          <w:rFonts w:ascii="Arial Nova Cond" w:hAnsi="Arial Nova Cond" w:hint="eastAsia"/>
          <w:sz w:val="22"/>
          <w:szCs w:val="22"/>
        </w:rPr>
        <w:t>ling</w:t>
      </w:r>
      <w:r w:rsidRPr="00F10041">
        <w:rPr>
          <w:rFonts w:ascii="Arial Nova Cond" w:hAnsi="Arial Nova Cond"/>
          <w:sz w:val="22"/>
          <w:szCs w:val="22"/>
        </w:rPr>
        <w:t>.</w:t>
      </w:r>
    </w:p>
    <w:p w14:paraId="32856844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</w:rPr>
      </w:pPr>
      <w:r w:rsidRPr="000E5DFE">
        <w:rPr>
          <w:rFonts w:ascii="Arial Nova Cond" w:hAnsi="Arial Nova Cond" w:hint="eastAsia"/>
          <w:b/>
          <w:bCs/>
          <w:sz w:val="22"/>
          <w:szCs w:val="22"/>
        </w:rPr>
        <w:t>B.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2E08AE">
        <w:rPr>
          <w:rFonts w:ascii="Arial Nova Cond" w:hAnsi="Arial Nova Cond"/>
          <w:sz w:val="22"/>
          <w:szCs w:val="22"/>
        </w:rPr>
        <w:t>Anti-EGFR antibody drugs are molecular targeted drugs that bind to the extracellular domain of EGFR and inhibit ligand-dependent downstream signaling of EGFR.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0E5DFE">
        <w:rPr>
          <w:rFonts w:ascii="Arial Nova Cond" w:hAnsi="Arial Nova Cond"/>
          <w:sz w:val="22"/>
          <w:szCs w:val="22"/>
        </w:rPr>
        <w:t>The use of anti-EGFR antibody drugs has been approved for the treatment of advanced colorectal cancer, and antitumor effects of drug therapy for colorectal cancer are expected.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CD1E81">
        <w:rPr>
          <w:rFonts w:ascii="Arial Nova Cond" w:hAnsi="Arial Nova Cond"/>
          <w:sz w:val="22"/>
          <w:szCs w:val="22"/>
        </w:rPr>
        <w:t>However, once the RAS gene mutates to become activated RAS, the activation of RAS cannot be suppressed even by administering anti-EGFR antibody drugs.</w:t>
      </w:r>
      <w:r>
        <w:rPr>
          <w:rFonts w:ascii="Arial Nova Cond" w:hAnsi="Arial Nova Cond" w:hint="eastAsia"/>
          <w:sz w:val="22"/>
          <w:szCs w:val="22"/>
        </w:rPr>
        <w:t xml:space="preserve"> </w:t>
      </w:r>
      <w:r w:rsidRPr="00CD1E81">
        <w:rPr>
          <w:rFonts w:ascii="Arial Nova Cond" w:hAnsi="Arial Nova Cond"/>
          <w:sz w:val="22"/>
          <w:szCs w:val="22"/>
        </w:rPr>
        <w:t>As a result, anti-EGFR antibody drugs cannot be expected to be effective against mutated, activated RAS.</w:t>
      </w:r>
    </w:p>
    <w:p w14:paraId="42FDC534" w14:textId="77777777" w:rsidR="008B4A53" w:rsidRDefault="008B4A53" w:rsidP="008B4A53">
      <w:pPr>
        <w:adjustRightInd w:val="0"/>
        <w:snapToGrid w:val="0"/>
        <w:spacing w:line="240" w:lineRule="atLeast"/>
        <w:jc w:val="both"/>
        <w:rPr>
          <w:rFonts w:ascii="Arial Nova Cond" w:hAnsi="Arial Nova Cond"/>
        </w:rPr>
      </w:pPr>
    </w:p>
    <w:p w14:paraId="02AE9E01" w14:textId="77777777" w:rsidR="009E48E0" w:rsidRPr="008B4A53" w:rsidRDefault="009E48E0">
      <w:pPr>
        <w:rPr>
          <w:rFonts w:hint="eastAsia"/>
        </w:rPr>
      </w:pPr>
    </w:p>
    <w:sectPr w:rsidR="009E48E0" w:rsidRPr="008B4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53"/>
    <w:rsid w:val="000B736A"/>
    <w:rsid w:val="008B4A53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D175"/>
  <w15:chartTrackingRefBased/>
  <w15:docId w15:val="{70995C2D-3B10-4462-A0A7-39F9C4E0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A53"/>
    <w:pPr>
      <w:widowControl w:val="0"/>
    </w:pPr>
    <w:rPr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8B4A53"/>
    <w:pPr>
      <w:keepNext/>
      <w:keepLines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A53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A53"/>
    <w:pPr>
      <w:keepNext/>
      <w:keepLines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A53"/>
    <w:pPr>
      <w:keepNext/>
      <w:keepLines/>
      <w:spacing w:before="80" w:after="40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A53"/>
    <w:pPr>
      <w:keepNext/>
      <w:keepLines/>
      <w:spacing w:before="80" w:after="40"/>
      <w:jc w:val="both"/>
      <w:outlineLvl w:val="4"/>
    </w:pPr>
    <w:rPr>
      <w:rFonts w:cstheme="majorBidi"/>
      <w:color w:val="2F5496" w:themeColor="accent1" w:themeShade="BF"/>
      <w:sz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A53"/>
    <w:pPr>
      <w:keepNext/>
      <w:keepLines/>
      <w:spacing w:before="40"/>
      <w:jc w:val="both"/>
      <w:outlineLvl w:val="5"/>
    </w:pPr>
    <w:rPr>
      <w:rFonts w:cstheme="majorBidi"/>
      <w:b/>
      <w:bCs/>
      <w:color w:val="2F5496" w:themeColor="accent1" w:themeShade="BF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A53"/>
    <w:pPr>
      <w:keepNext/>
      <w:keepLines/>
      <w:spacing w:before="40"/>
      <w:jc w:val="both"/>
      <w:outlineLvl w:val="6"/>
    </w:pPr>
    <w:rPr>
      <w:rFonts w:cstheme="majorBidi"/>
      <w:b/>
      <w:bCs/>
      <w:color w:val="595959" w:themeColor="text1" w:themeTint="A6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A53"/>
    <w:pPr>
      <w:keepNext/>
      <w:keepLines/>
      <w:jc w:val="both"/>
      <w:outlineLvl w:val="7"/>
    </w:pPr>
    <w:rPr>
      <w:rFonts w:cstheme="majorBidi"/>
      <w:color w:val="595959" w:themeColor="text1" w:themeTint="A6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A53"/>
    <w:pPr>
      <w:keepNext/>
      <w:keepLines/>
      <w:jc w:val="both"/>
      <w:outlineLvl w:val="8"/>
    </w:pPr>
    <w:rPr>
      <w:rFonts w:eastAsiaTheme="majorEastAsia" w:cstheme="majorBidi"/>
      <w:color w:val="595959" w:themeColor="text1" w:themeTint="A6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A5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4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4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4A5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4A5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4A5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4A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4A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4A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4A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8B4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A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8B4A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4A53"/>
    <w:pPr>
      <w:spacing w:before="160" w:after="160"/>
      <w:jc w:val="center"/>
    </w:pPr>
    <w:rPr>
      <w:i/>
      <w:iCs/>
      <w:color w:val="404040" w:themeColor="text1" w:themeTint="BF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8B4A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4A53"/>
    <w:pPr>
      <w:ind w:left="720"/>
      <w:contextualSpacing/>
      <w:jc w:val="both"/>
    </w:pPr>
    <w:rPr>
      <w:szCs w:val="22"/>
      <w:lang w:eastAsia="zh-CN"/>
    </w:rPr>
  </w:style>
  <w:style w:type="character" w:styleId="aa">
    <w:name w:val="Intense Emphasis"/>
    <w:basedOn w:val="a0"/>
    <w:uiPriority w:val="21"/>
    <w:qFormat/>
    <w:rsid w:val="008B4A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4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8B4A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4A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2025-08-17T07:46:00Z</dcterms:created>
  <dcterms:modified xsi:type="dcterms:W3CDTF">2025-08-17T07:46:00Z</dcterms:modified>
</cp:coreProperties>
</file>