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A85B" w14:textId="77777777" w:rsidR="00711C32" w:rsidRPr="00974223" w:rsidRDefault="00711C32" w:rsidP="00711C32">
      <w:pPr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  <w:lang w:eastAsia="zh-CN"/>
        </w:rPr>
      </w:pPr>
    </w:p>
    <w:p w14:paraId="53A88772" w14:textId="77777777" w:rsidR="00711C32" w:rsidRPr="00974223" w:rsidRDefault="00711C32" w:rsidP="00711C32">
      <w:pPr>
        <w:adjustRightInd w:val="0"/>
        <w:snapToGrid w:val="0"/>
        <w:jc w:val="left"/>
        <w:rPr>
          <w:rFonts w:ascii="Times New Roman" w:hAnsi="Times New Roman"/>
          <w:sz w:val="24"/>
          <w:szCs w:val="24"/>
          <w:lang w:eastAsia="zh-CN"/>
        </w:rPr>
      </w:pPr>
      <w:bookmarkStart w:id="0" w:name="_Hlk201842368"/>
      <w:r w:rsidRPr="00974223">
        <w:rPr>
          <w:rFonts w:ascii="Times New Roman" w:hAnsi="Times New Roman"/>
          <w:b/>
          <w:kern w:val="0"/>
          <w:sz w:val="24"/>
          <w:szCs w:val="24"/>
        </w:rPr>
        <w:t>Suppl</w:t>
      </w:r>
      <w:r>
        <w:rPr>
          <w:rFonts w:ascii="Times New Roman" w:hAnsi="Times New Roman" w:hint="eastAsia"/>
          <w:b/>
          <w:kern w:val="0"/>
          <w:sz w:val="24"/>
          <w:szCs w:val="24"/>
          <w:lang w:eastAsia="zh-CN"/>
        </w:rPr>
        <w:t xml:space="preserve"> 3</w:t>
      </w:r>
      <w:r w:rsidRPr="00974223">
        <w:rPr>
          <w:rFonts w:ascii="Times New Roman" w:hAnsi="Times New Roman"/>
          <w:b/>
          <w:kern w:val="0"/>
          <w:sz w:val="24"/>
          <w:szCs w:val="24"/>
        </w:rPr>
        <w:t>.</w:t>
      </w:r>
      <w:r w:rsidRPr="00974223">
        <w:rPr>
          <w:rFonts w:ascii="Times New Roman" w:hAnsi="Times New Roman"/>
          <w:sz w:val="24"/>
          <w:szCs w:val="24"/>
        </w:rPr>
        <w:t xml:space="preserve"> 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 xml:space="preserve">Concordance between </w:t>
      </w:r>
      <w:r w:rsidRPr="00974223">
        <w:rPr>
          <w:rFonts w:ascii="Times New Roman" w:hAnsi="Times New Roman"/>
          <w:bCs/>
          <w:i/>
          <w:iCs/>
          <w:kern w:val="0"/>
          <w:sz w:val="24"/>
          <w:szCs w:val="24"/>
        </w:rPr>
        <w:t>ERBB2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 xml:space="preserve"> CNA evaluated by targeted next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>generation sequencing and HER2 IHC</w:t>
      </w:r>
      <w:r w:rsidRPr="00974223">
        <w:rPr>
          <w:rFonts w:ascii="Times New Roman" w:hAnsi="Times New Roman"/>
          <w:bCs/>
          <w:kern w:val="0"/>
          <w:sz w:val="24"/>
          <w:szCs w:val="24"/>
          <w:lang w:eastAsia="zh-CN"/>
        </w:rPr>
        <w:t xml:space="preserve"> (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>4B5</w:t>
      </w:r>
      <w:r w:rsidRPr="00974223">
        <w:rPr>
          <w:rFonts w:ascii="Times New Roman" w:hAnsi="Times New Roman"/>
          <w:bCs/>
          <w:kern w:val="0"/>
          <w:sz w:val="24"/>
          <w:szCs w:val="24"/>
          <w:lang w:eastAsia="zh-CN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5"/>
        <w:gridCol w:w="3443"/>
        <w:gridCol w:w="2288"/>
        <w:gridCol w:w="1781"/>
        <w:gridCol w:w="1755"/>
      </w:tblGrid>
      <w:tr w:rsidR="00711C32" w:rsidRPr="00974223" w14:paraId="62002AFC" w14:textId="77777777" w:rsidTr="00C50F42">
        <w:trPr>
          <w:trHeight w:val="80"/>
          <w:jc w:val="center"/>
        </w:trPr>
        <w:tc>
          <w:tcPr>
            <w:tcW w:w="73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60F8D5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bookmarkStart w:id="1" w:name="_Hlk201251115"/>
            <w:bookmarkEnd w:id="0"/>
          </w:p>
        </w:tc>
        <w:tc>
          <w:tcPr>
            <w:tcW w:w="58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C3BE" w14:textId="77777777" w:rsidR="00711C32" w:rsidRPr="00974223" w:rsidRDefault="00711C32" w:rsidP="00C50F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  <w:t>Number of patients</w:t>
            </w:r>
          </w:p>
        </w:tc>
      </w:tr>
      <w:tr w:rsidR="00711C32" w:rsidRPr="00974223" w14:paraId="78DB05A8" w14:textId="77777777" w:rsidTr="00C50F42">
        <w:trPr>
          <w:trHeight w:val="70"/>
          <w:jc w:val="center"/>
        </w:trPr>
        <w:tc>
          <w:tcPr>
            <w:tcW w:w="7328" w:type="dxa"/>
            <w:gridSpan w:val="2"/>
            <w:vMerge/>
            <w:vAlign w:val="center"/>
          </w:tcPr>
          <w:p w14:paraId="3B7DF305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0C8C0" w14:textId="77777777" w:rsidR="00711C32" w:rsidRPr="00974223" w:rsidRDefault="00711C32" w:rsidP="00C50F42">
            <w:pPr>
              <w:widowControl/>
              <w:adjustRightInd w:val="0"/>
              <w:snapToGrid w:val="0"/>
              <w:jc w:val="center"/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  <w:lang w:eastAsia="zh-CN"/>
              </w:rPr>
            </w:pPr>
            <w:r w:rsidRPr="0097422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HER2 IHC</w:t>
            </w:r>
            <w:r w:rsidRPr="00974223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 xml:space="preserve"> (</w:t>
            </w:r>
            <w:r w:rsidRPr="0097422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4B5</w:t>
            </w:r>
            <w:r w:rsidRPr="00974223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267F5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  <w:t>Total</w:t>
            </w:r>
          </w:p>
        </w:tc>
      </w:tr>
      <w:tr w:rsidR="00711C32" w:rsidRPr="00974223" w14:paraId="32C1B766" w14:textId="77777777" w:rsidTr="00C50F42">
        <w:trPr>
          <w:trHeight w:val="70"/>
          <w:jc w:val="center"/>
        </w:trPr>
        <w:tc>
          <w:tcPr>
            <w:tcW w:w="73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74EE5A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8B0F5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  <w:t>Score 3+/ 2+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9A50A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  <w:t>Score 1+/0</w:t>
            </w:r>
          </w:p>
        </w:tc>
        <w:tc>
          <w:tcPr>
            <w:tcW w:w="175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D11D3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</w:pPr>
          </w:p>
        </w:tc>
      </w:tr>
      <w:tr w:rsidR="00711C32" w:rsidRPr="00974223" w14:paraId="420804DA" w14:textId="77777777" w:rsidTr="00C50F42">
        <w:trPr>
          <w:trHeight w:val="70"/>
          <w:jc w:val="center"/>
        </w:trPr>
        <w:tc>
          <w:tcPr>
            <w:tcW w:w="3885" w:type="dxa"/>
            <w:vMerge w:val="restart"/>
            <w:tcBorders>
              <w:top w:val="single" w:sz="4" w:space="0" w:color="auto"/>
            </w:tcBorders>
          </w:tcPr>
          <w:p w14:paraId="4CA5A589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i/>
                <w:iCs/>
                <w:kern w:val="0"/>
                <w:sz w:val="24"/>
                <w:szCs w:val="24"/>
              </w:rPr>
              <w:t>ERBB2</w:t>
            </w: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 xml:space="preserve"> CNA evaluated by </w:t>
            </w:r>
            <w:r w:rsidRPr="0097422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targeted next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-</w:t>
            </w:r>
            <w:r w:rsidRPr="0097422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generation sequencing</w:t>
            </w:r>
          </w:p>
        </w:tc>
        <w:tc>
          <w:tcPr>
            <w:tcW w:w="3443" w:type="dxa"/>
            <w:tcBorders>
              <w:top w:val="single" w:sz="4" w:space="0" w:color="auto"/>
            </w:tcBorders>
          </w:tcPr>
          <w:p w14:paraId="09CC5EAD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&gt; 1.70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-</w:t>
            </w: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fold change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0058C787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68EB2DC1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147294C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9</w:t>
            </w:r>
          </w:p>
        </w:tc>
      </w:tr>
      <w:tr w:rsidR="00711C32" w:rsidRPr="00974223" w14:paraId="499CC25B" w14:textId="77777777" w:rsidTr="00C50F42">
        <w:trPr>
          <w:trHeight w:val="70"/>
          <w:jc w:val="center"/>
        </w:trPr>
        <w:tc>
          <w:tcPr>
            <w:tcW w:w="3885" w:type="dxa"/>
            <w:vMerge/>
          </w:tcPr>
          <w:p w14:paraId="48AEFA88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BCE1D5A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≤ 1.70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-</w:t>
            </w: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fold change</w:t>
            </w:r>
          </w:p>
        </w:tc>
        <w:tc>
          <w:tcPr>
            <w:tcW w:w="2288" w:type="dxa"/>
          </w:tcPr>
          <w:p w14:paraId="2D48FFC1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14:paraId="648864E7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55" w:type="dxa"/>
          </w:tcPr>
          <w:p w14:paraId="5F93F14B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32</w:t>
            </w:r>
          </w:p>
        </w:tc>
      </w:tr>
      <w:tr w:rsidR="00711C32" w:rsidRPr="00974223" w14:paraId="259E2CCC" w14:textId="77777777" w:rsidTr="00C50F42">
        <w:trPr>
          <w:trHeight w:val="70"/>
          <w:jc w:val="center"/>
        </w:trPr>
        <w:tc>
          <w:tcPr>
            <w:tcW w:w="3885" w:type="dxa"/>
            <w:vMerge/>
          </w:tcPr>
          <w:p w14:paraId="1DD8FD6B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87EBBFA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2288" w:type="dxa"/>
          </w:tcPr>
          <w:p w14:paraId="20FE31F3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81" w:type="dxa"/>
          </w:tcPr>
          <w:p w14:paraId="52CEFFBB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55" w:type="dxa"/>
          </w:tcPr>
          <w:p w14:paraId="6A359B92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41</w:t>
            </w:r>
          </w:p>
        </w:tc>
      </w:tr>
      <w:tr w:rsidR="00711C32" w:rsidRPr="00974223" w14:paraId="41BBF057" w14:textId="77777777" w:rsidTr="00C50F42">
        <w:trPr>
          <w:trHeight w:val="70"/>
          <w:jc w:val="center"/>
        </w:trPr>
        <w:tc>
          <w:tcPr>
            <w:tcW w:w="3885" w:type="dxa"/>
            <w:vMerge w:val="restart"/>
          </w:tcPr>
          <w:p w14:paraId="40295225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C412C96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Positive percent agreement</w:t>
            </w:r>
          </w:p>
        </w:tc>
        <w:tc>
          <w:tcPr>
            <w:tcW w:w="5824" w:type="dxa"/>
            <w:gridSpan w:val="3"/>
          </w:tcPr>
          <w:p w14:paraId="3B58337C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81.8%</w:t>
            </w:r>
          </w:p>
        </w:tc>
      </w:tr>
      <w:tr w:rsidR="00711C32" w:rsidRPr="00974223" w14:paraId="761820B7" w14:textId="77777777" w:rsidTr="00C50F42">
        <w:trPr>
          <w:trHeight w:val="70"/>
          <w:jc w:val="center"/>
        </w:trPr>
        <w:tc>
          <w:tcPr>
            <w:tcW w:w="3885" w:type="dxa"/>
            <w:vMerge/>
          </w:tcPr>
          <w:p w14:paraId="620020B4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9F39732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Negative percent agreement</w:t>
            </w:r>
          </w:p>
        </w:tc>
        <w:tc>
          <w:tcPr>
            <w:tcW w:w="5824" w:type="dxa"/>
            <w:gridSpan w:val="3"/>
          </w:tcPr>
          <w:p w14:paraId="50FC3207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100.0%</w:t>
            </w:r>
          </w:p>
        </w:tc>
      </w:tr>
      <w:tr w:rsidR="00711C32" w:rsidRPr="00974223" w14:paraId="4AC88325" w14:textId="77777777" w:rsidTr="00C50F42">
        <w:trPr>
          <w:trHeight w:val="70"/>
          <w:jc w:val="center"/>
        </w:trPr>
        <w:tc>
          <w:tcPr>
            <w:tcW w:w="3885" w:type="dxa"/>
            <w:vMerge/>
          </w:tcPr>
          <w:p w14:paraId="16ABF515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5DE5EFFB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Overall percent agreement</w:t>
            </w:r>
          </w:p>
        </w:tc>
        <w:tc>
          <w:tcPr>
            <w:tcW w:w="5824" w:type="dxa"/>
            <w:gridSpan w:val="3"/>
          </w:tcPr>
          <w:p w14:paraId="593469B7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95.1%</w:t>
            </w:r>
          </w:p>
        </w:tc>
      </w:tr>
      <w:tr w:rsidR="00711C32" w:rsidRPr="00974223" w14:paraId="502D71FC" w14:textId="77777777" w:rsidTr="00C50F42">
        <w:trPr>
          <w:trHeight w:val="47"/>
          <w:jc w:val="center"/>
        </w:trPr>
        <w:tc>
          <w:tcPr>
            <w:tcW w:w="3885" w:type="dxa"/>
            <w:vMerge/>
          </w:tcPr>
          <w:p w14:paraId="095C1157" w14:textId="77777777" w:rsidR="00711C32" w:rsidRPr="00974223" w:rsidRDefault="00711C32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C11E37D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Cohen’s kappa (95% CI)</w:t>
            </w:r>
          </w:p>
        </w:tc>
        <w:tc>
          <w:tcPr>
            <w:tcW w:w="5824" w:type="dxa"/>
            <w:gridSpan w:val="3"/>
          </w:tcPr>
          <w:p w14:paraId="455104AE" w14:textId="77777777" w:rsidR="00711C32" w:rsidRPr="00974223" w:rsidRDefault="00711C3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0.87 (0.69–1.05)</w:t>
            </w:r>
          </w:p>
        </w:tc>
      </w:tr>
    </w:tbl>
    <w:bookmarkEnd w:id="1"/>
    <w:p w14:paraId="7A7AA42A" w14:textId="77777777" w:rsidR="00711C32" w:rsidRPr="00974223" w:rsidRDefault="00711C32" w:rsidP="00711C32">
      <w:pPr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974223">
        <w:rPr>
          <w:rFonts w:ascii="Times New Roman" w:hAnsi="Times New Roman"/>
          <w:i/>
          <w:iCs/>
          <w:kern w:val="0"/>
          <w:sz w:val="24"/>
          <w:szCs w:val="24"/>
        </w:rPr>
        <w:t>ERBB2</w:t>
      </w:r>
      <w:r w:rsidRPr="00974223">
        <w:rPr>
          <w:rFonts w:ascii="Times New Roman" w:hAnsi="Times New Roman"/>
          <w:kern w:val="0"/>
          <w:sz w:val="24"/>
          <w:szCs w:val="24"/>
        </w:rPr>
        <w:t>, erb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kern w:val="0"/>
          <w:sz w:val="24"/>
          <w:szCs w:val="24"/>
        </w:rPr>
        <w:t>b2 receptor tyrosine kinase 2; CNA, copy number alteration; HER2</w:t>
      </w:r>
      <w:r w:rsidRPr="00974223">
        <w:rPr>
          <w:rFonts w:ascii="Times New Roman" w:eastAsia="AdvP4C4E74" w:hAnsi="Times New Roman"/>
          <w:kern w:val="0"/>
          <w:sz w:val="24"/>
          <w:szCs w:val="24"/>
        </w:rPr>
        <w:t xml:space="preserve">, </w:t>
      </w:r>
      <w:r w:rsidRPr="00974223">
        <w:rPr>
          <w:rFonts w:ascii="Times New Roman" w:hAnsi="Times New Roman"/>
          <w:kern w:val="0"/>
          <w:sz w:val="24"/>
          <w:szCs w:val="24"/>
        </w:rPr>
        <w:t>human epidermal growth factor receptor 2; IHC; immunohistochemistry</w:t>
      </w:r>
      <w:r w:rsidRPr="00974223">
        <w:rPr>
          <w:rFonts w:ascii="Times New Roman" w:hAnsi="Times New Roman"/>
          <w:kern w:val="0"/>
          <w:sz w:val="24"/>
          <w:szCs w:val="24"/>
          <w:lang w:eastAsia="zh-CN"/>
        </w:rPr>
        <w:t>.</w:t>
      </w:r>
    </w:p>
    <w:p w14:paraId="33BEFCC4" w14:textId="77777777" w:rsidR="009E48E0" w:rsidRPr="00711C32" w:rsidRDefault="009E48E0">
      <w:pPr>
        <w:rPr>
          <w:rFonts w:hint="eastAsia"/>
        </w:rPr>
      </w:pPr>
    </w:p>
    <w:sectPr w:rsidR="009E48E0" w:rsidRPr="00711C32" w:rsidSect="00711C32">
      <w:pgSz w:w="16838" w:h="11906" w:orient="landscape" w:code="9"/>
      <w:pgMar w:top="1701" w:right="1701" w:bottom="1701" w:left="1985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dvP4C4E7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32"/>
    <w:rsid w:val="00711C32"/>
    <w:rsid w:val="00922E90"/>
    <w:rsid w:val="009E48E0"/>
    <w:rsid w:val="00AF2808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37A2"/>
  <w15:chartTrackingRefBased/>
  <w15:docId w15:val="{A2A59651-0112-4708-BD2C-06C8F58C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32"/>
    <w:pPr>
      <w:widowControl w:val="0"/>
      <w:jc w:val="both"/>
    </w:pPr>
    <w:rPr>
      <w:rFonts w:cs="Times New Roman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1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C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C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C32"/>
    <w:pPr>
      <w:keepNext/>
      <w:keepLines/>
      <w:outlineLvl w:val="7"/>
    </w:pPr>
    <w:rPr>
      <w:rFonts w:cstheme="majorBidi"/>
      <w:color w:val="595959" w:themeColor="text1" w:themeTint="A6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C32"/>
    <w:pPr>
      <w:keepNext/>
      <w:keepLines/>
      <w:outlineLvl w:val="8"/>
    </w:pPr>
    <w:rPr>
      <w:rFonts w:eastAsiaTheme="majorEastAsia" w:cstheme="majorBidi"/>
      <w:color w:val="595959" w:themeColor="text1" w:themeTint="A6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C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1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C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1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C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11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C32"/>
    <w:pPr>
      <w:spacing w:before="160" w:after="160"/>
      <w:jc w:val="center"/>
    </w:pPr>
    <w:rPr>
      <w:rFonts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11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C32"/>
    <w:pPr>
      <w:ind w:left="720"/>
      <w:contextualSpacing/>
    </w:pPr>
    <w:rPr>
      <w:rFonts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11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11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2025-06-26T06:59:00Z</dcterms:created>
  <dcterms:modified xsi:type="dcterms:W3CDTF">2025-06-26T07:00:00Z</dcterms:modified>
</cp:coreProperties>
</file>