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15B" w:rsidRPr="000D0C7E" w:rsidRDefault="008F515B" w:rsidP="008F515B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515B" w:rsidRPr="00500146" w:rsidRDefault="008F515B" w:rsidP="008F515B">
      <w:pPr>
        <w:adjustRightInd w:val="0"/>
        <w:snapToGrid w:val="0"/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F04B8D">
        <w:rPr>
          <w:rFonts w:ascii="Times New Roman" w:hAnsi="Times New Roman" w:cs="Times New Roman"/>
          <w:b/>
          <w:bCs/>
          <w:sz w:val="24"/>
          <w:szCs w:val="24"/>
        </w:rPr>
        <w:t>Suppl 1.</w:t>
      </w:r>
      <w:r w:rsidRPr="002B4EC8">
        <w:rPr>
          <w:rFonts w:ascii="Times New Roman" w:hAnsi="Times New Roman" w:cs="Times New Roman"/>
          <w:sz w:val="24"/>
          <w:szCs w:val="24"/>
        </w:rPr>
        <w:t xml:space="preserve"> LP does not affect normal cell viability. (A) Human dermal fibroblasts (HDF) and (B) HaCaT cells were treated with LP for 16h, and cell viability was measured using CCK-8 assay. NS: non-significant</w:t>
      </w:r>
    </w:p>
    <w:p w:rsidR="008F515B" w:rsidRPr="000D0C7E" w:rsidRDefault="008F515B" w:rsidP="008F515B">
      <w:pPr>
        <w:adjustRightInd w:val="0"/>
        <w:snapToGrid w:val="0"/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0D0C7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31510" cy="3869055"/>
            <wp:effectExtent l="0" t="0" r="2540" b="0"/>
            <wp:docPr id="1829214306" name="Picture 1" descr="A graph of a cel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214306" name="Picture 1" descr="A graph of a cell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6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515B" w:rsidRPr="000D0C7E" w:rsidRDefault="008F515B" w:rsidP="008F515B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593E" w:rsidRDefault="00BD593E"/>
    <w:sectPr w:rsidR="00BD59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µÈÏß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40"/>
  <w:defaultTabStop w:val="720"/>
  <w:characterSpacingControl w:val="doNotCompress"/>
  <w:compat>
    <w:useFELayout/>
  </w:compat>
  <w:rsids>
    <w:rsidRoot w:val="008F515B"/>
    <w:rsid w:val="008F515B"/>
    <w:rsid w:val="00BD5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2025-09-15T07:16:00Z</dcterms:created>
  <dcterms:modified xsi:type="dcterms:W3CDTF">2025-09-15T07:16:00Z</dcterms:modified>
</cp:coreProperties>
</file>