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DB" w:rsidRPr="00745B06" w:rsidRDefault="00E748DB" w:rsidP="00E748DB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12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.</w:t>
      </w:r>
      <w:r w:rsidRPr="00745B06">
        <w:rPr>
          <w:rFonts w:eastAsia="宋体" w:cs="Times New Roman"/>
          <w:szCs w:val="24"/>
          <w:lang w:eastAsia="zh-CN"/>
        </w:rPr>
        <w:t xml:space="preserve"> KEGG enrichment analysis of genes negatively correlated with TK2 in CESC.</w:t>
      </w:r>
    </w:p>
    <w:p w:rsidR="00E748DB" w:rsidRPr="00745B06" w:rsidRDefault="00E748DB" w:rsidP="00E748DB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82590"/>
            <wp:effectExtent l="0" t="0" r="3810" b="3810"/>
            <wp:docPr id="306303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0323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727A88" w:rsidRDefault="00727A88"/>
    <w:sectPr w:rsidR="00727A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748DB"/>
    <w:rsid w:val="00727A88"/>
    <w:rsid w:val="00E7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