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2F590" w14:textId="746755E8" w:rsidR="00B8757D" w:rsidRDefault="00B8757D" w:rsidP="00F52C74">
      <w:pPr>
        <w:spacing w:line="480" w:lineRule="auto"/>
        <w:rPr>
          <w:rFonts w:eastAsia="宋体" w:cs="Times New Roman"/>
          <w:szCs w:val="24"/>
        </w:rPr>
      </w:pPr>
      <w:r w:rsidRPr="00B8757D">
        <w:rPr>
          <w:rFonts w:eastAsia="宋体" w:cs="Times New Roman"/>
          <w:b/>
          <w:bCs/>
          <w:szCs w:val="24"/>
        </w:rPr>
        <w:t>Suppl</w:t>
      </w:r>
      <w:r w:rsidR="00976AB9">
        <w:rPr>
          <w:rFonts w:eastAsia="宋体" w:cs="Times New Roman" w:hint="eastAsia"/>
          <w:b/>
          <w:bCs/>
          <w:szCs w:val="24"/>
        </w:rPr>
        <w:t>5</w:t>
      </w:r>
      <w:r w:rsidRPr="00B8757D">
        <w:rPr>
          <w:rFonts w:eastAsia="宋体" w:cs="Times New Roman"/>
          <w:b/>
          <w:bCs/>
          <w:szCs w:val="24"/>
        </w:rPr>
        <w:t>. GSVA and immune infiltration analyses in the VTE cohort.</w:t>
      </w:r>
      <w:r w:rsidRPr="00B8757D">
        <w:rPr>
          <w:rFonts w:eastAsia="宋体" w:cs="Times New Roman"/>
          <w:szCs w:val="24"/>
        </w:rPr>
        <w:t xml:space="preserve"> </w:t>
      </w:r>
    </w:p>
    <w:p w14:paraId="46DA299A" w14:textId="16EA1E23" w:rsidR="00F52C74" w:rsidRDefault="00F52C74" w:rsidP="00F52C74">
      <w:pPr>
        <w:spacing w:line="480" w:lineRule="auto"/>
      </w:pPr>
      <w:r w:rsidRPr="00044079">
        <w:rPr>
          <w:rFonts w:eastAsia="宋体" w:cs="Times New Roman"/>
          <w:szCs w:val="24"/>
        </w:rPr>
        <w:t>(</w:t>
      </w:r>
      <w:r w:rsidRPr="00044079">
        <w:rPr>
          <w:rFonts w:eastAsia="宋体" w:cs="Times New Roman" w:hint="eastAsia"/>
          <w:szCs w:val="24"/>
        </w:rPr>
        <w:t>A</w:t>
      </w:r>
      <w:r w:rsidRPr="00044079">
        <w:rPr>
          <w:rFonts w:eastAsia="宋体" w:cs="Times New Roman"/>
          <w:szCs w:val="24"/>
        </w:rPr>
        <w:t>) Heatmap of GSVA enrichment scores comparing VTE samples with controls. Red indicates higher pathway enrichment, and blue indicates lower enrichment. (</w:t>
      </w:r>
      <w:r w:rsidRPr="00044079">
        <w:rPr>
          <w:rFonts w:eastAsia="宋体" w:cs="Times New Roman" w:hint="eastAsia"/>
          <w:bCs/>
          <w:szCs w:val="24"/>
        </w:rPr>
        <w:t>B</w:t>
      </w:r>
      <w:r w:rsidRPr="00044079">
        <w:rPr>
          <w:rFonts w:eastAsia="宋体" w:cs="Times New Roman"/>
          <w:szCs w:val="24"/>
        </w:rPr>
        <w:t xml:space="preserve">) Boxplots comparing pathway enrichment scores between VTE and control groups. </w:t>
      </w:r>
      <w:r w:rsidRPr="00044079">
        <w:rPr>
          <w:rFonts w:cs="Times New Roman"/>
          <w:szCs w:val="24"/>
          <w:lang w:val="en-GB"/>
        </w:rPr>
        <w:t>(</w:t>
      </w:r>
      <w:r>
        <w:rPr>
          <w:rFonts w:cs="Times New Roman" w:hint="eastAsia"/>
          <w:szCs w:val="24"/>
          <w:lang w:val="en-GB"/>
        </w:rPr>
        <w:t>C</w:t>
      </w:r>
      <w:r w:rsidRPr="00044079">
        <w:rPr>
          <w:rFonts w:cs="Times New Roman"/>
          <w:szCs w:val="24"/>
          <w:lang w:val="en-GB"/>
        </w:rPr>
        <w:t xml:space="preserve">) </w:t>
      </w:r>
      <w:r w:rsidRPr="00044079">
        <w:rPr>
          <w:rFonts w:eastAsia="宋体" w:cs="Times New Roman"/>
          <w:szCs w:val="24"/>
          <w:lang w:val="en-GB"/>
        </w:rPr>
        <w:t>Boxplots</w:t>
      </w:r>
      <w:r w:rsidRPr="00044079">
        <w:rPr>
          <w:rFonts w:eastAsia="宋体" w:cs="Times New Roman" w:hint="eastAsia"/>
          <w:szCs w:val="24"/>
          <w:lang w:val="en-GB"/>
        </w:rPr>
        <w:t xml:space="preserve"> </w:t>
      </w:r>
      <w:r w:rsidRPr="00044079">
        <w:rPr>
          <w:rFonts w:eastAsia="宋体" w:cs="Times New Roman"/>
          <w:szCs w:val="24"/>
          <w:lang w:val="en-GB"/>
        </w:rPr>
        <w:t>assessing the relative quantities</w:t>
      </w:r>
      <w:r w:rsidRPr="00044079">
        <w:rPr>
          <w:rFonts w:cs="Times New Roman"/>
          <w:szCs w:val="24"/>
          <w:lang w:val="en-GB"/>
        </w:rPr>
        <w:t xml:space="preserve"> of immune cell subsets </w:t>
      </w:r>
      <w:r w:rsidRPr="00044079">
        <w:rPr>
          <w:rFonts w:eastAsia="宋体" w:cs="Times New Roman"/>
          <w:szCs w:val="24"/>
          <w:lang w:val="en-GB"/>
        </w:rPr>
        <w:t>between control and VTE samples.</w:t>
      </w:r>
      <w:r w:rsidRPr="00044079">
        <w:rPr>
          <w:rFonts w:cs="Times New Roman"/>
          <w:szCs w:val="24"/>
          <w:lang w:val="en-GB"/>
        </w:rPr>
        <w:t xml:space="preserve"> (</w:t>
      </w:r>
      <w:r>
        <w:rPr>
          <w:rFonts w:cs="Times New Roman" w:hint="eastAsia"/>
          <w:szCs w:val="24"/>
          <w:lang w:val="en-GB"/>
        </w:rPr>
        <w:t>D</w:t>
      </w:r>
      <w:r w:rsidRPr="00044079">
        <w:rPr>
          <w:rFonts w:cs="Times New Roman"/>
          <w:szCs w:val="24"/>
          <w:lang w:val="en-GB"/>
        </w:rPr>
        <w:t xml:space="preserve">) Heatmap </w:t>
      </w:r>
      <w:r w:rsidRPr="00044079">
        <w:rPr>
          <w:rFonts w:eastAsia="宋体" w:cs="Times New Roman"/>
          <w:szCs w:val="24"/>
          <w:lang w:val="en-GB"/>
        </w:rPr>
        <w:t>showing correlations among</w:t>
      </w:r>
      <w:r w:rsidRPr="00044079">
        <w:rPr>
          <w:rFonts w:cs="Times New Roman"/>
          <w:szCs w:val="24"/>
          <w:lang w:val="en-GB"/>
        </w:rPr>
        <w:t xml:space="preserve"> immune cell populations in GSE19151. (</w:t>
      </w:r>
      <w:r>
        <w:rPr>
          <w:rFonts w:cs="Times New Roman" w:hint="eastAsia"/>
          <w:szCs w:val="24"/>
          <w:lang w:val="en-GB"/>
        </w:rPr>
        <w:t>E</w:t>
      </w:r>
      <w:r w:rsidRPr="00044079">
        <w:rPr>
          <w:rFonts w:cs="Times New Roman"/>
          <w:szCs w:val="24"/>
          <w:lang w:val="en-GB"/>
        </w:rPr>
        <w:t xml:space="preserve">) Bubble plot </w:t>
      </w:r>
      <w:r w:rsidRPr="00044079">
        <w:rPr>
          <w:rFonts w:eastAsia="宋体" w:cs="Times New Roman"/>
          <w:szCs w:val="24"/>
          <w:lang w:val="en-GB"/>
        </w:rPr>
        <w:t>showing correlations linking transcriptional activity with the extent of immune cell infiltration. Statistical significance is indicated as follows: ns, not significant (</w:t>
      </w:r>
      <w:r w:rsidRPr="00044079">
        <w:rPr>
          <w:rFonts w:eastAsia="宋体" w:cs="Times New Roman"/>
          <w:i/>
          <w:iCs/>
          <w:szCs w:val="24"/>
          <w:lang w:val="en-GB"/>
        </w:rPr>
        <w:t>p</w:t>
      </w:r>
      <w:r w:rsidRPr="00044079">
        <w:rPr>
          <w:rFonts w:eastAsia="宋体" w:cs="Times New Roman"/>
          <w:szCs w:val="24"/>
          <w:lang w:val="en-GB"/>
        </w:rPr>
        <w:t xml:space="preserve"> ≥ 0.05); *, </w:t>
      </w:r>
      <w:r w:rsidRPr="00044079">
        <w:rPr>
          <w:rFonts w:eastAsia="宋体" w:cs="Times New Roman"/>
          <w:i/>
          <w:iCs/>
          <w:szCs w:val="24"/>
          <w:lang w:val="en-GB"/>
        </w:rPr>
        <w:t>p</w:t>
      </w:r>
      <w:r w:rsidRPr="00044079">
        <w:rPr>
          <w:rFonts w:eastAsia="宋体" w:cs="Times New Roman"/>
          <w:szCs w:val="24"/>
          <w:lang w:val="en-GB"/>
        </w:rPr>
        <w:t xml:space="preserve"> &lt; 0.05; **, </w:t>
      </w:r>
      <w:r w:rsidRPr="00044079">
        <w:rPr>
          <w:rFonts w:eastAsia="宋体" w:cs="Times New Roman"/>
          <w:i/>
          <w:iCs/>
          <w:szCs w:val="24"/>
          <w:lang w:val="en-GB"/>
        </w:rPr>
        <w:t>p</w:t>
      </w:r>
      <w:r w:rsidRPr="00044079">
        <w:rPr>
          <w:rFonts w:eastAsia="宋体" w:cs="Times New Roman"/>
          <w:szCs w:val="24"/>
          <w:lang w:val="en-GB"/>
        </w:rPr>
        <w:t xml:space="preserve"> &lt; 0.01; ***, </w:t>
      </w:r>
      <w:r w:rsidRPr="00044079">
        <w:rPr>
          <w:rFonts w:eastAsia="宋体" w:cs="Times New Roman"/>
          <w:i/>
          <w:iCs/>
          <w:szCs w:val="24"/>
          <w:lang w:val="en-GB"/>
        </w:rPr>
        <w:t>p</w:t>
      </w:r>
      <w:r w:rsidRPr="00044079">
        <w:rPr>
          <w:rFonts w:eastAsia="宋体" w:cs="Times New Roman"/>
          <w:szCs w:val="24"/>
          <w:lang w:val="en-GB"/>
        </w:rPr>
        <w:t xml:space="preserve"> &lt; 0.001. Correlation strength is based on |</w:t>
      </w:r>
      <w:r w:rsidRPr="00044079">
        <w:rPr>
          <w:rFonts w:eastAsia="宋体" w:cs="Times New Roman"/>
          <w:i/>
          <w:iCs/>
          <w:szCs w:val="24"/>
          <w:lang w:val="en-GB"/>
        </w:rPr>
        <w:t>r</w:t>
      </w:r>
      <w:r w:rsidRPr="00044079">
        <w:rPr>
          <w:rFonts w:eastAsia="宋体" w:cs="Times New Roman"/>
          <w:szCs w:val="24"/>
          <w:lang w:val="en-GB"/>
        </w:rPr>
        <w:t xml:space="preserve">|, where &lt; 0.3 indicates negligible, 0.3–0.5 weak, and 0.5–0.8 moderate correlations. </w:t>
      </w:r>
      <w:proofErr w:type="spellStart"/>
      <w:r w:rsidRPr="00044079">
        <w:rPr>
          <w:rFonts w:eastAsia="宋体" w:cs="Times New Roman"/>
          <w:szCs w:val="24"/>
          <w:lang w:val="en-GB"/>
        </w:rPr>
        <w:t>Color</w:t>
      </w:r>
      <w:proofErr w:type="spellEnd"/>
      <w:r w:rsidRPr="00044079">
        <w:rPr>
          <w:rFonts w:eastAsia="宋体" w:cs="Times New Roman"/>
          <w:szCs w:val="24"/>
          <w:lang w:val="en-GB"/>
        </w:rPr>
        <w:t xml:space="preserve"> coding: light blue, control; pink, VTE. In panels B and C,</w:t>
      </w:r>
      <w:r w:rsidRPr="00044079">
        <w:rPr>
          <w:rFonts w:eastAsia="宋体" w:cs="Times New Roman" w:hint="eastAsia"/>
          <w:szCs w:val="24"/>
          <w:lang w:val="en-GB"/>
        </w:rPr>
        <w:t xml:space="preserve"> r</w:t>
      </w:r>
      <w:r w:rsidRPr="00044079">
        <w:rPr>
          <w:rFonts w:eastAsia="宋体" w:cs="Times New Roman"/>
          <w:szCs w:val="24"/>
          <w:lang w:val="en-GB"/>
        </w:rPr>
        <w:t>ed hues denote positive associations, whereas blue shades signify negative ones, with the saturation level corresponding to the magnitude of the correlation.</w:t>
      </w:r>
      <w:r w:rsidRPr="00044079">
        <w:rPr>
          <w:rFonts w:eastAsia="宋体" w:cs="Times New Roman" w:hint="eastAsia"/>
          <w:szCs w:val="24"/>
          <w:lang w:val="en-GB"/>
        </w:rPr>
        <w:t xml:space="preserve"> </w:t>
      </w:r>
      <w:r w:rsidRPr="00044079">
        <w:rPr>
          <w:rFonts w:cs="Times New Roman"/>
          <w:szCs w:val="24"/>
          <w:lang w:val="en-GB"/>
        </w:rPr>
        <w:t xml:space="preserve">Abbreviations: </w:t>
      </w:r>
      <w:proofErr w:type="spellStart"/>
      <w:r w:rsidRPr="00044079">
        <w:rPr>
          <w:rFonts w:cs="Times New Roman"/>
          <w:szCs w:val="24"/>
          <w:lang w:val="en-GB"/>
        </w:rPr>
        <w:t>ssGSEA</w:t>
      </w:r>
      <w:proofErr w:type="spellEnd"/>
      <w:r w:rsidRPr="00044079">
        <w:rPr>
          <w:rFonts w:cs="Times New Roman"/>
          <w:szCs w:val="24"/>
          <w:lang w:val="en-GB"/>
        </w:rPr>
        <w:t>, single-sample gene set enrichment analysis; VTE, venous thromboembolism</w:t>
      </w:r>
      <w:r w:rsidRPr="00044079">
        <w:rPr>
          <w:rFonts w:eastAsia="宋体" w:cs="Times New Roman"/>
          <w:szCs w:val="24"/>
        </w:rPr>
        <w:t>.</w:t>
      </w:r>
    </w:p>
    <w:p w14:paraId="4EB380C0" w14:textId="5AA1E22E" w:rsidR="004545FE" w:rsidRDefault="00F52C74">
      <w:r>
        <w:rPr>
          <w:noProof/>
        </w:rPr>
        <w:lastRenderedPageBreak/>
        <w:drawing>
          <wp:inline distT="0" distB="0" distL="0" distR="0" wp14:anchorId="62EAEB09" wp14:editId="543D9C4C">
            <wp:extent cx="4794885" cy="8863330"/>
            <wp:effectExtent l="0" t="0" r="0" b="0"/>
            <wp:docPr id="1292563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80B98" w14:textId="77777777" w:rsidR="003D1573" w:rsidRDefault="003D1573" w:rsidP="00F52C74">
      <w:r>
        <w:separator/>
      </w:r>
    </w:p>
  </w:endnote>
  <w:endnote w:type="continuationSeparator" w:id="0">
    <w:p w14:paraId="3A618B3F" w14:textId="77777777" w:rsidR="003D1573" w:rsidRDefault="003D1573" w:rsidP="00F5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E732D" w14:textId="77777777" w:rsidR="003D1573" w:rsidRDefault="003D1573" w:rsidP="00F52C74">
      <w:r>
        <w:separator/>
      </w:r>
    </w:p>
  </w:footnote>
  <w:footnote w:type="continuationSeparator" w:id="0">
    <w:p w14:paraId="06E18C44" w14:textId="77777777" w:rsidR="003D1573" w:rsidRDefault="003D1573" w:rsidP="00F52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A1"/>
    <w:rsid w:val="00013F5D"/>
    <w:rsid w:val="00116D45"/>
    <w:rsid w:val="003D1573"/>
    <w:rsid w:val="004545FE"/>
    <w:rsid w:val="00560F5E"/>
    <w:rsid w:val="005E77A1"/>
    <w:rsid w:val="00976AB9"/>
    <w:rsid w:val="00B8757D"/>
    <w:rsid w:val="00C57F54"/>
    <w:rsid w:val="00C95743"/>
    <w:rsid w:val="00EC244F"/>
    <w:rsid w:val="00F5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C84A6"/>
  <w15:chartTrackingRefBased/>
  <w15:docId w15:val="{14F24E3B-39B4-48A2-8B92-B5B23035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C74"/>
    <w:pPr>
      <w:widowControl w:val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E77A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7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7A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7A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7A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7A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7A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7A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7A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E77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E77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E77A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E77A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E77A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E77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E77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E77A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E77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E7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77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E77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77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E77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77A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E77A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77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E77A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E77A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52C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52C7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52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52C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xifei wu</dc:creator>
  <cp:keywords/>
  <dc:description/>
  <cp:lastModifiedBy>May R</cp:lastModifiedBy>
  <cp:revision>3</cp:revision>
  <dcterms:created xsi:type="dcterms:W3CDTF">2026-08-25T14:52:00Z</dcterms:created>
  <dcterms:modified xsi:type="dcterms:W3CDTF">2026-08-25T14:54:00Z</dcterms:modified>
</cp:coreProperties>
</file>