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56E2" w14:textId="44F62F52" w:rsidR="001E41CF" w:rsidRPr="00044079" w:rsidRDefault="001E41CF" w:rsidP="001E41CF">
      <w:pPr>
        <w:spacing w:line="480" w:lineRule="auto"/>
        <w:rPr>
          <w:rFonts w:eastAsia="宋体" w:cs="Times New Roman"/>
          <w:b/>
          <w:szCs w:val="24"/>
        </w:rPr>
      </w:pPr>
      <w:r w:rsidRPr="007624CD">
        <w:rPr>
          <w:rFonts w:eastAsia="宋体" w:cs="Times New Roman"/>
          <w:b/>
          <w:szCs w:val="24"/>
        </w:rPr>
        <w:t>Suppl</w:t>
      </w:r>
      <w:r w:rsidR="00E94B18">
        <w:rPr>
          <w:rFonts w:eastAsia="宋体" w:cs="Times New Roman" w:hint="eastAsia"/>
          <w:b/>
          <w:szCs w:val="24"/>
        </w:rPr>
        <w:t>4.</w:t>
      </w:r>
      <w:r w:rsidRPr="00044079">
        <w:rPr>
          <w:rFonts w:eastAsia="宋体" w:cs="Times New Roman"/>
          <w:b/>
          <w:szCs w:val="24"/>
        </w:rPr>
        <w:t xml:space="preserve"> </w:t>
      </w:r>
      <w:r>
        <w:rPr>
          <w:rFonts w:eastAsia="宋体" w:cs="Times New Roman" w:hint="eastAsia"/>
          <w:b/>
          <w:bCs/>
          <w:szCs w:val="24"/>
        </w:rPr>
        <w:t>I</w:t>
      </w:r>
      <w:r w:rsidRPr="001E41CF">
        <w:rPr>
          <w:rFonts w:eastAsia="宋体" w:cs="Times New Roman"/>
          <w:b/>
          <w:bCs/>
          <w:szCs w:val="24"/>
        </w:rPr>
        <w:t>dentification of VTE-associated differentially expressed genes, WGCNA modules, and shared crosstalk genes.</w:t>
      </w:r>
    </w:p>
    <w:p w14:paraId="4860832B" w14:textId="3D172C11" w:rsidR="001E41CF" w:rsidRPr="00044079" w:rsidRDefault="001E41CF" w:rsidP="001E41CF">
      <w:pPr>
        <w:spacing w:line="480" w:lineRule="auto"/>
        <w:rPr>
          <w:rFonts w:eastAsia="宋体" w:cs="Times New Roman"/>
          <w:szCs w:val="24"/>
        </w:rPr>
      </w:pPr>
      <w:r w:rsidRPr="00044079">
        <w:rPr>
          <w:rFonts w:eastAsia="宋体" w:cs="Times New Roman"/>
          <w:bCs/>
          <w:szCs w:val="24"/>
        </w:rPr>
        <w:t>(</w:t>
      </w:r>
      <w:r w:rsidRPr="00044079">
        <w:rPr>
          <w:rFonts w:eastAsia="宋体" w:cs="Times New Roman" w:hint="eastAsia"/>
          <w:szCs w:val="24"/>
        </w:rPr>
        <w:t>A, B</w:t>
      </w:r>
      <w:r w:rsidRPr="00044079">
        <w:rPr>
          <w:rFonts w:eastAsia="宋体" w:cs="Times New Roman"/>
          <w:bCs/>
          <w:szCs w:val="24"/>
        </w:rPr>
        <w:t>) Volcano plots of DEGs in GSE48000 (</w:t>
      </w:r>
      <w:r w:rsidRPr="00044079">
        <w:rPr>
          <w:rFonts w:eastAsia="宋体" w:cs="Times New Roman" w:hint="eastAsia"/>
          <w:szCs w:val="24"/>
        </w:rPr>
        <w:t>A</w:t>
      </w:r>
      <w:r w:rsidRPr="00044079">
        <w:rPr>
          <w:rFonts w:eastAsia="宋体" w:cs="Times New Roman"/>
          <w:bCs/>
          <w:szCs w:val="24"/>
        </w:rPr>
        <w:t>) and GSE19151 (</w:t>
      </w:r>
      <w:r w:rsidRPr="00044079">
        <w:rPr>
          <w:rFonts w:eastAsia="宋体" w:cs="Times New Roman" w:hint="eastAsia"/>
          <w:bCs/>
          <w:szCs w:val="24"/>
        </w:rPr>
        <w:t>B</w:t>
      </w:r>
      <w:r w:rsidRPr="00044079">
        <w:rPr>
          <w:rFonts w:eastAsia="宋体" w:cs="Times New Roman"/>
          <w:bCs/>
          <w:szCs w:val="24"/>
        </w:rPr>
        <w:t>), comparing VTE samples with controls. (</w:t>
      </w:r>
      <w:r w:rsidRPr="00044079">
        <w:rPr>
          <w:rFonts w:eastAsia="宋体" w:cs="Times New Roman" w:hint="eastAsia"/>
          <w:bCs/>
          <w:szCs w:val="24"/>
        </w:rPr>
        <w:t>C</w:t>
      </w:r>
      <w:r w:rsidRPr="00044079">
        <w:rPr>
          <w:rFonts w:eastAsia="宋体" w:cs="Times New Roman"/>
          <w:bCs/>
          <w:szCs w:val="24"/>
        </w:rPr>
        <w:t>) Venn diagram showing the overlap of DEGs between GSE48000 and GSE19151. (</w:t>
      </w:r>
      <w:r w:rsidRPr="00044079">
        <w:rPr>
          <w:rFonts w:eastAsia="宋体" w:cs="Times New Roman" w:hint="eastAsia"/>
          <w:bCs/>
          <w:szCs w:val="24"/>
        </w:rPr>
        <w:t>D</w:t>
      </w:r>
      <w:r w:rsidRPr="00044079">
        <w:rPr>
          <w:rFonts w:eastAsia="宋体" w:cs="Times New Roman"/>
          <w:bCs/>
          <w:szCs w:val="24"/>
        </w:rPr>
        <w:t xml:space="preserve">, </w:t>
      </w:r>
      <w:r w:rsidRPr="00044079">
        <w:rPr>
          <w:rFonts w:eastAsia="宋体" w:cs="Times New Roman" w:hint="eastAsia"/>
          <w:bCs/>
          <w:szCs w:val="24"/>
        </w:rPr>
        <w:t>E</w:t>
      </w:r>
      <w:r w:rsidRPr="00044079">
        <w:rPr>
          <w:rFonts w:eastAsia="宋体" w:cs="Times New Roman"/>
          <w:bCs/>
          <w:szCs w:val="24"/>
        </w:rPr>
        <w:t>) Heatmaps of the top 10 upregulated and top 10 downregulated VTEDEGs in GSE48000 (D) and GSE19151 (</w:t>
      </w:r>
      <w:r w:rsidRPr="00044079">
        <w:rPr>
          <w:rFonts w:eastAsia="宋体" w:cs="Times New Roman" w:hint="eastAsia"/>
          <w:szCs w:val="24"/>
        </w:rPr>
        <w:t>E</w:t>
      </w:r>
      <w:r w:rsidRPr="00044079">
        <w:rPr>
          <w:rFonts w:eastAsia="宋体" w:cs="Times New Roman"/>
          <w:bCs/>
          <w:szCs w:val="24"/>
        </w:rPr>
        <w:t>). In volcano plots, pink represents VTE samples and light blue represents controls. In heatmaps, red represents higher expression and blue represents</w:t>
      </w:r>
      <w:r w:rsidRPr="00044079" w:rsidDel="00AC0F3B">
        <w:rPr>
          <w:rFonts w:eastAsia="宋体" w:cs="Times New Roman"/>
          <w:bCs/>
          <w:szCs w:val="24"/>
        </w:rPr>
        <w:t xml:space="preserve"> </w:t>
      </w:r>
      <w:r w:rsidRPr="00044079">
        <w:rPr>
          <w:rFonts w:eastAsia="宋体" w:cs="Times New Roman"/>
          <w:bCs/>
          <w:szCs w:val="24"/>
        </w:rPr>
        <w:t xml:space="preserve">lower expression. </w:t>
      </w:r>
      <w:r w:rsidRPr="00044079">
        <w:rPr>
          <w:rFonts w:eastAsia="宋体" w:cs="Times New Roman"/>
          <w:szCs w:val="24"/>
        </w:rPr>
        <w:t>(</w:t>
      </w:r>
      <w:r>
        <w:rPr>
          <w:rFonts w:eastAsia="宋体" w:cs="Times New Roman" w:hint="eastAsia"/>
          <w:szCs w:val="24"/>
        </w:rPr>
        <w:t>F</w:t>
      </w:r>
      <w:r w:rsidRPr="00044079">
        <w:rPr>
          <w:rFonts w:eastAsia="宋体" w:cs="Times New Roman"/>
          <w:szCs w:val="24"/>
        </w:rPr>
        <w:t>) Determination of soft-thresholding power. (Left) Scale-free topology fit index. (Right) Mean connectivity. (</w:t>
      </w:r>
      <w:r>
        <w:rPr>
          <w:rFonts w:eastAsia="宋体" w:cs="Times New Roman" w:hint="eastAsia"/>
          <w:bCs/>
          <w:szCs w:val="24"/>
        </w:rPr>
        <w:t>G</w:t>
      </w:r>
      <w:r w:rsidRPr="00044079">
        <w:rPr>
          <w:rFonts w:eastAsia="宋体" w:cs="Times New Roman"/>
          <w:szCs w:val="24"/>
        </w:rPr>
        <w:t>) Hierarchical clustering dendrogram showing module assignment for genes with the top 60% variance. (</w:t>
      </w:r>
      <w:r>
        <w:rPr>
          <w:rFonts w:eastAsia="宋体" w:cs="Times New Roman" w:hint="eastAsia"/>
          <w:szCs w:val="24"/>
        </w:rPr>
        <w:t>H</w:t>
      </w:r>
      <w:r w:rsidRPr="00044079">
        <w:rPr>
          <w:rFonts w:eastAsia="宋体" w:cs="Times New Roman"/>
          <w:szCs w:val="24"/>
        </w:rPr>
        <w:t>) Module clustering based on hierarchical clustering. The upper panel shows the gene dendrogram, and the lower panel shows module colors. (</w:t>
      </w:r>
      <w:r>
        <w:rPr>
          <w:rFonts w:eastAsia="宋体" w:cs="Times New Roman" w:hint="eastAsia"/>
          <w:szCs w:val="24"/>
        </w:rPr>
        <w:t>I</w:t>
      </w:r>
      <w:r w:rsidRPr="00044079">
        <w:rPr>
          <w:rFonts w:eastAsia="宋体" w:cs="Times New Roman"/>
          <w:szCs w:val="24"/>
        </w:rPr>
        <w:t>) Heatmap of correlations between gene modules and clinical traits (VTE vs. control). Correlation strength is indicated by |</w:t>
      </w:r>
      <w:r w:rsidRPr="00044079">
        <w:rPr>
          <w:rFonts w:eastAsia="宋体" w:cs="Times New Roman"/>
          <w:i/>
          <w:iCs/>
          <w:szCs w:val="24"/>
        </w:rPr>
        <w:t>r</w:t>
      </w:r>
      <w:r w:rsidRPr="00044079">
        <w:rPr>
          <w:rFonts w:eastAsia="宋体" w:cs="Times New Roman"/>
          <w:szCs w:val="24"/>
        </w:rPr>
        <w:t>| values, where &lt; 0.3</w:t>
      </w:r>
      <w:r w:rsidRPr="00044079">
        <w:rPr>
          <w:rFonts w:eastAsia="宋体" w:cs="Times New Roman" w:hint="eastAsia"/>
          <w:szCs w:val="24"/>
        </w:rPr>
        <w:t xml:space="preserve"> </w:t>
      </w:r>
      <w:r w:rsidRPr="00044079">
        <w:rPr>
          <w:rFonts w:eastAsia="宋体" w:cs="Times New Roman"/>
          <w:szCs w:val="24"/>
        </w:rPr>
        <w:t>suggests minimal and 0.3–0.5 indicates modest correlations. Color indicates direction of correlation, with pink representing positive and gray-green representing negative correlations. (</w:t>
      </w:r>
      <w:r>
        <w:rPr>
          <w:rFonts w:eastAsia="宋体" w:cs="Times New Roman" w:hint="eastAsia"/>
          <w:szCs w:val="24"/>
        </w:rPr>
        <w:t>J</w:t>
      </w:r>
      <w:r w:rsidRPr="00044079">
        <w:rPr>
          <w:rFonts w:eastAsia="宋体" w:cs="Times New Roman"/>
          <w:szCs w:val="24"/>
        </w:rPr>
        <w:t>) Venn diagram showing the overlap among LCDEGs, VTEDEGs, LC_WGCNA, VTE_WGCNA, and MRGs. Abbreviations: LC, lung cancer; VTE, venous thromboembolism; MRGs, mitochondria-related genes.</w:t>
      </w:r>
      <w:r w:rsidR="000739B1" w:rsidRPr="000739B1">
        <w:rPr>
          <w:rFonts w:eastAsia="宋体" w:cs="Times New Roman"/>
          <w:bCs/>
          <w:szCs w:val="24"/>
        </w:rPr>
        <w:t xml:space="preserve"> </w:t>
      </w:r>
      <w:r w:rsidR="000739B1" w:rsidRPr="00044079">
        <w:rPr>
          <w:rFonts w:eastAsia="宋体" w:cs="Times New Roman"/>
          <w:bCs/>
          <w:szCs w:val="24"/>
        </w:rPr>
        <w:t>DEGs, differentially expressed genes; VTEDEGs, venous thromboembolism–associated differentially expressed genes.</w:t>
      </w:r>
    </w:p>
    <w:p w14:paraId="1A27EB00" w14:textId="3CDA1542" w:rsidR="004545FE" w:rsidRPr="001E41CF" w:rsidRDefault="009A6528" w:rsidP="00CD09C8">
      <w:pPr>
        <w:jc w:val="center"/>
      </w:pPr>
      <w:r>
        <w:rPr>
          <w:noProof/>
        </w:rPr>
        <w:lastRenderedPageBreak/>
        <w:drawing>
          <wp:inline distT="0" distB="0" distL="0" distR="0" wp14:anchorId="4A9BC020" wp14:editId="307969BC">
            <wp:extent cx="4645025" cy="8863330"/>
            <wp:effectExtent l="0" t="0" r="0" b="0"/>
            <wp:docPr id="465492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5FE" w:rsidRPr="001E4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1BFEE" w14:textId="77777777" w:rsidR="008F25A6" w:rsidRDefault="008F25A6" w:rsidP="001E41CF">
      <w:r>
        <w:separator/>
      </w:r>
    </w:p>
  </w:endnote>
  <w:endnote w:type="continuationSeparator" w:id="0">
    <w:p w14:paraId="51888F11" w14:textId="77777777" w:rsidR="008F25A6" w:rsidRDefault="008F25A6" w:rsidP="001E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96954" w14:textId="77777777" w:rsidR="008F25A6" w:rsidRDefault="008F25A6" w:rsidP="001E41CF">
      <w:r>
        <w:separator/>
      </w:r>
    </w:p>
  </w:footnote>
  <w:footnote w:type="continuationSeparator" w:id="0">
    <w:p w14:paraId="587B3D90" w14:textId="77777777" w:rsidR="008F25A6" w:rsidRDefault="008F25A6" w:rsidP="001E4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B4"/>
    <w:rsid w:val="00013F5D"/>
    <w:rsid w:val="000739B1"/>
    <w:rsid w:val="00116D45"/>
    <w:rsid w:val="001E41CF"/>
    <w:rsid w:val="003272A7"/>
    <w:rsid w:val="004545FE"/>
    <w:rsid w:val="00595FD0"/>
    <w:rsid w:val="006F28B4"/>
    <w:rsid w:val="008F25A6"/>
    <w:rsid w:val="009A6528"/>
    <w:rsid w:val="00AE164B"/>
    <w:rsid w:val="00C57F54"/>
    <w:rsid w:val="00C95743"/>
    <w:rsid w:val="00CD09C8"/>
    <w:rsid w:val="00DE513B"/>
    <w:rsid w:val="00E9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BE5EF"/>
  <w15:chartTrackingRefBased/>
  <w15:docId w15:val="{42B9476E-B6FC-47E0-A844-7C363B57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1CF"/>
    <w:pPr>
      <w:widowControl w:val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F28B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8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8B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8B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8B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8B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8B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8B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8B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28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2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28B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28B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28B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28B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28B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28B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28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F2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28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F28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28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F28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28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F28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28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F28B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F28B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E41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E41C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E4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E41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xifei wu</dc:creator>
  <cp:keywords/>
  <dc:description/>
  <cp:lastModifiedBy>May R</cp:lastModifiedBy>
  <cp:revision>3</cp:revision>
  <dcterms:created xsi:type="dcterms:W3CDTF">2026-08-25T14:44:00Z</dcterms:created>
  <dcterms:modified xsi:type="dcterms:W3CDTF">2026-08-25T14:44:00Z</dcterms:modified>
</cp:coreProperties>
</file>