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7765" w14:textId="50A4765F" w:rsidR="002274BC" w:rsidRPr="00044079" w:rsidRDefault="008368AE" w:rsidP="002274BC">
      <w:pPr>
        <w:spacing w:line="480" w:lineRule="auto"/>
        <w:rPr>
          <w:rFonts w:eastAsia="宋体" w:cs="Times New Roman"/>
          <w:b/>
          <w:szCs w:val="24"/>
        </w:rPr>
      </w:pPr>
      <w:r w:rsidRPr="008368AE">
        <w:rPr>
          <w:rFonts w:eastAsia="宋体" w:cs="Times New Roman"/>
          <w:b/>
          <w:szCs w:val="24"/>
        </w:rPr>
        <w:t>Suppl</w:t>
      </w:r>
      <w:r w:rsidR="00791CD0">
        <w:rPr>
          <w:rFonts w:eastAsia="宋体" w:cs="Times New Roman" w:hint="eastAsia"/>
          <w:b/>
          <w:szCs w:val="24"/>
        </w:rPr>
        <w:t>3</w:t>
      </w:r>
      <w:r w:rsidR="002274BC" w:rsidRPr="00044079">
        <w:rPr>
          <w:rFonts w:eastAsia="宋体" w:cs="Times New Roman"/>
          <w:b/>
          <w:szCs w:val="24"/>
        </w:rPr>
        <w:t xml:space="preserve">. </w:t>
      </w:r>
      <w:r w:rsidR="00C000D0" w:rsidRPr="00C000D0">
        <w:rPr>
          <w:rFonts w:eastAsia="宋体" w:cs="Times New Roman"/>
          <w:b/>
          <w:bCs/>
          <w:szCs w:val="24"/>
        </w:rPr>
        <w:t>Preprocessing and normalization of the LC and VTE datasets.</w:t>
      </w:r>
    </w:p>
    <w:p w14:paraId="47543954" w14:textId="77777777" w:rsidR="002274BC" w:rsidRPr="00044079" w:rsidRDefault="002274BC" w:rsidP="002274BC">
      <w:pPr>
        <w:spacing w:line="480" w:lineRule="auto"/>
        <w:rPr>
          <w:rFonts w:eastAsia="宋体" w:cs="Times New Roman"/>
          <w:bCs/>
          <w:szCs w:val="24"/>
        </w:rPr>
      </w:pPr>
      <w:r w:rsidRPr="00044079">
        <w:rPr>
          <w:rFonts w:eastAsia="宋体" w:cs="Times New Roman"/>
          <w:bCs/>
          <w:szCs w:val="24"/>
        </w:rPr>
        <w:t>(</w:t>
      </w:r>
      <w:r w:rsidRPr="00044079">
        <w:rPr>
          <w:rFonts w:eastAsia="宋体" w:cs="Times New Roman" w:hint="eastAsia"/>
          <w:szCs w:val="24"/>
        </w:rPr>
        <w:t>A, B</w:t>
      </w:r>
      <w:r w:rsidRPr="00044079">
        <w:rPr>
          <w:rFonts w:eastAsia="宋体" w:cs="Times New Roman"/>
          <w:bCs/>
          <w:szCs w:val="24"/>
        </w:rPr>
        <w:t>) Boxplots of expression distributions in GSE30219 before (</w:t>
      </w:r>
      <w:r w:rsidRPr="00044079">
        <w:rPr>
          <w:rFonts w:eastAsia="宋体" w:cs="Times New Roman" w:hint="eastAsia"/>
          <w:bCs/>
          <w:szCs w:val="24"/>
        </w:rPr>
        <w:t>A</w:t>
      </w:r>
      <w:r w:rsidRPr="00044079">
        <w:rPr>
          <w:rFonts w:eastAsia="宋体" w:cs="Times New Roman"/>
          <w:bCs/>
          <w:szCs w:val="24"/>
        </w:rPr>
        <w:t>) and after (</w:t>
      </w:r>
      <w:r w:rsidRPr="00044079">
        <w:rPr>
          <w:rFonts w:eastAsia="宋体" w:cs="Times New Roman" w:hint="eastAsia"/>
          <w:bCs/>
          <w:szCs w:val="24"/>
        </w:rPr>
        <w:t>B</w:t>
      </w:r>
      <w:r w:rsidRPr="00044079">
        <w:rPr>
          <w:rFonts w:eastAsia="宋体" w:cs="Times New Roman"/>
          <w:bCs/>
          <w:szCs w:val="24"/>
        </w:rPr>
        <w:t>) normalization. (</w:t>
      </w:r>
      <w:r w:rsidRPr="00044079">
        <w:rPr>
          <w:rFonts w:eastAsia="宋体" w:cs="Times New Roman" w:hint="eastAsia"/>
          <w:bCs/>
          <w:szCs w:val="24"/>
        </w:rPr>
        <w:t>C, D</w:t>
      </w:r>
      <w:r w:rsidRPr="00044079">
        <w:rPr>
          <w:rFonts w:eastAsia="宋体" w:cs="Times New Roman"/>
          <w:bCs/>
          <w:szCs w:val="24"/>
        </w:rPr>
        <w:t>) Boxplots of expression distributions in GSE19188 before (</w:t>
      </w:r>
      <w:r w:rsidRPr="00044079">
        <w:rPr>
          <w:rFonts w:eastAsia="宋体" w:cs="Times New Roman" w:hint="eastAsia"/>
          <w:szCs w:val="24"/>
        </w:rPr>
        <w:t>C</w:t>
      </w:r>
      <w:r w:rsidRPr="00044079">
        <w:rPr>
          <w:rFonts w:eastAsia="宋体" w:cs="Times New Roman"/>
          <w:bCs/>
          <w:szCs w:val="24"/>
        </w:rPr>
        <w:t>) and after (</w:t>
      </w:r>
      <w:r w:rsidRPr="00044079">
        <w:rPr>
          <w:rFonts w:eastAsia="宋体" w:cs="Times New Roman" w:hint="eastAsia"/>
          <w:bCs/>
          <w:szCs w:val="24"/>
        </w:rPr>
        <w:t>D</w:t>
      </w:r>
      <w:r w:rsidRPr="00044079">
        <w:rPr>
          <w:rFonts w:eastAsia="宋体" w:cs="Times New Roman"/>
          <w:bCs/>
          <w:szCs w:val="24"/>
        </w:rPr>
        <w:t>) normalization. (</w:t>
      </w:r>
      <w:r w:rsidRPr="00044079">
        <w:rPr>
          <w:rFonts w:eastAsia="宋体" w:cs="Times New Roman" w:hint="eastAsia"/>
          <w:szCs w:val="24"/>
        </w:rPr>
        <w:t>E, F</w:t>
      </w:r>
      <w:r w:rsidRPr="00044079">
        <w:rPr>
          <w:rFonts w:eastAsia="宋体" w:cs="Times New Roman"/>
          <w:bCs/>
          <w:szCs w:val="24"/>
        </w:rPr>
        <w:t>) Boxplots of expression distributions in GSE48000 before (</w:t>
      </w:r>
      <w:r w:rsidRPr="00044079">
        <w:rPr>
          <w:rFonts w:eastAsia="宋体" w:cs="Times New Roman" w:hint="eastAsia"/>
          <w:bCs/>
          <w:szCs w:val="24"/>
        </w:rPr>
        <w:t>E</w:t>
      </w:r>
      <w:r w:rsidRPr="00044079">
        <w:rPr>
          <w:rFonts w:eastAsia="宋体" w:cs="Times New Roman"/>
          <w:bCs/>
          <w:szCs w:val="24"/>
        </w:rPr>
        <w:t>) and after (</w:t>
      </w:r>
      <w:r w:rsidRPr="00044079">
        <w:rPr>
          <w:rFonts w:eastAsia="宋体" w:cs="Times New Roman" w:hint="eastAsia"/>
          <w:bCs/>
          <w:szCs w:val="24"/>
        </w:rPr>
        <w:t>F</w:t>
      </w:r>
      <w:r w:rsidRPr="00044079">
        <w:rPr>
          <w:rFonts w:eastAsia="宋体" w:cs="Times New Roman"/>
          <w:bCs/>
          <w:szCs w:val="24"/>
        </w:rPr>
        <w:t>)</w:t>
      </w:r>
      <w:r w:rsidRPr="00044079">
        <w:rPr>
          <w:rFonts w:cs="Times New Roman"/>
          <w:szCs w:val="24"/>
        </w:rPr>
        <w:t xml:space="preserve"> </w:t>
      </w:r>
      <w:r w:rsidRPr="00044079">
        <w:rPr>
          <w:rFonts w:eastAsia="宋体" w:cs="Times New Roman"/>
          <w:bCs/>
          <w:szCs w:val="24"/>
        </w:rPr>
        <w:t>normalization. (</w:t>
      </w:r>
      <w:r w:rsidRPr="00044079">
        <w:rPr>
          <w:rFonts w:eastAsia="宋体" w:cs="Times New Roman" w:hint="eastAsia"/>
          <w:szCs w:val="24"/>
        </w:rPr>
        <w:t>G</w:t>
      </w:r>
      <w:r w:rsidRPr="00044079">
        <w:rPr>
          <w:rFonts w:eastAsia="宋体" w:cs="Times New Roman"/>
          <w:szCs w:val="24"/>
        </w:rPr>
        <w:t xml:space="preserve">, </w:t>
      </w:r>
      <w:r w:rsidRPr="00044079">
        <w:rPr>
          <w:rFonts w:eastAsia="宋体" w:cs="Times New Roman" w:hint="eastAsia"/>
          <w:szCs w:val="24"/>
        </w:rPr>
        <w:t>H</w:t>
      </w:r>
      <w:r w:rsidRPr="00044079">
        <w:rPr>
          <w:rFonts w:eastAsia="宋体" w:cs="Times New Roman"/>
          <w:bCs/>
          <w:szCs w:val="24"/>
        </w:rPr>
        <w:t>) Boxplots of expression distributions in GSE19151 before (</w:t>
      </w:r>
      <w:r w:rsidRPr="00044079">
        <w:rPr>
          <w:rFonts w:eastAsia="宋体" w:cs="Times New Roman" w:hint="eastAsia"/>
          <w:bCs/>
          <w:szCs w:val="24"/>
        </w:rPr>
        <w:t>G</w:t>
      </w:r>
      <w:r w:rsidRPr="00044079">
        <w:rPr>
          <w:rFonts w:eastAsia="宋体" w:cs="Times New Roman"/>
          <w:bCs/>
          <w:szCs w:val="24"/>
        </w:rPr>
        <w:t>) and after (</w:t>
      </w:r>
      <w:r w:rsidRPr="00044079">
        <w:rPr>
          <w:rFonts w:eastAsia="宋体" w:cs="Times New Roman" w:hint="eastAsia"/>
          <w:bCs/>
          <w:szCs w:val="24"/>
        </w:rPr>
        <w:t>H</w:t>
      </w:r>
      <w:r w:rsidRPr="00044079">
        <w:rPr>
          <w:rFonts w:eastAsia="宋体" w:cs="Times New Roman"/>
          <w:bCs/>
          <w:szCs w:val="24"/>
        </w:rPr>
        <w:t>) normalization.</w:t>
      </w:r>
      <w:r w:rsidRPr="00044079">
        <w:rPr>
          <w:rFonts w:eastAsia="宋体" w:cs="Times New Roman" w:hint="eastAsia"/>
          <w:bCs/>
          <w:szCs w:val="24"/>
        </w:rPr>
        <w:t xml:space="preserve"> P</w:t>
      </w:r>
      <w:r w:rsidRPr="00044079">
        <w:rPr>
          <w:rFonts w:eastAsia="宋体" w:cs="Times New Roman"/>
          <w:bCs/>
          <w:szCs w:val="24"/>
        </w:rPr>
        <w:t xml:space="preserve">ink indicates the VTE group </w:t>
      </w:r>
      <w:r w:rsidRPr="00044079">
        <w:rPr>
          <w:rFonts w:eastAsia="宋体" w:cs="Times New Roman" w:hint="eastAsia"/>
          <w:bCs/>
          <w:szCs w:val="24"/>
        </w:rPr>
        <w:t>o</w:t>
      </w:r>
      <w:r w:rsidRPr="00044079">
        <w:rPr>
          <w:rFonts w:eastAsia="宋体" w:cs="Times New Roman"/>
          <w:bCs/>
          <w:szCs w:val="24"/>
        </w:rPr>
        <w:t xml:space="preserve">range indicates the LC group, and </w:t>
      </w:r>
      <w:r w:rsidRPr="00044079">
        <w:rPr>
          <w:rFonts w:eastAsia="宋体" w:cs="Times New Roman" w:hint="eastAsia"/>
          <w:bCs/>
          <w:szCs w:val="24"/>
        </w:rPr>
        <w:t>c</w:t>
      </w:r>
      <w:r w:rsidRPr="00044079">
        <w:rPr>
          <w:rFonts w:eastAsia="宋体" w:cs="Times New Roman"/>
          <w:bCs/>
          <w:szCs w:val="24"/>
        </w:rPr>
        <w:t>ontrol group samples are shown in blue. LC, lung cancer; VTE, venous thromboembolism.</w:t>
      </w:r>
    </w:p>
    <w:p w14:paraId="108A0C6B" w14:textId="05282AFA" w:rsidR="004545FE" w:rsidRDefault="002274BC" w:rsidP="002274BC">
      <w:r>
        <w:rPr>
          <w:noProof/>
        </w:rPr>
        <w:lastRenderedPageBreak/>
        <w:drawing>
          <wp:inline distT="0" distB="0" distL="0" distR="0" wp14:anchorId="71057C07" wp14:editId="7A74161F">
            <wp:extent cx="5731510" cy="6730365"/>
            <wp:effectExtent l="0" t="0" r="2540" b="0"/>
            <wp:docPr id="76426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640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3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BD58" w14:textId="77777777" w:rsidR="00F678C7" w:rsidRDefault="00F678C7" w:rsidP="002274BC">
      <w:r>
        <w:separator/>
      </w:r>
    </w:p>
  </w:endnote>
  <w:endnote w:type="continuationSeparator" w:id="0">
    <w:p w14:paraId="19BE0BCB" w14:textId="77777777" w:rsidR="00F678C7" w:rsidRDefault="00F678C7" w:rsidP="0022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3443" w14:textId="77777777" w:rsidR="00F678C7" w:rsidRDefault="00F678C7" w:rsidP="002274BC">
      <w:r>
        <w:separator/>
      </w:r>
    </w:p>
  </w:footnote>
  <w:footnote w:type="continuationSeparator" w:id="0">
    <w:p w14:paraId="14E45301" w14:textId="77777777" w:rsidR="00F678C7" w:rsidRDefault="00F678C7" w:rsidP="00227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1C"/>
    <w:rsid w:val="00013F5D"/>
    <w:rsid w:val="00035EC7"/>
    <w:rsid w:val="000A121C"/>
    <w:rsid w:val="00103165"/>
    <w:rsid w:val="00116D45"/>
    <w:rsid w:val="002274BC"/>
    <w:rsid w:val="0023650C"/>
    <w:rsid w:val="00312FD7"/>
    <w:rsid w:val="004545FE"/>
    <w:rsid w:val="00791CD0"/>
    <w:rsid w:val="008368AE"/>
    <w:rsid w:val="00AC4CB1"/>
    <w:rsid w:val="00C000D0"/>
    <w:rsid w:val="00C57F54"/>
    <w:rsid w:val="00C95743"/>
    <w:rsid w:val="00F6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64C4E"/>
  <w15:chartTrackingRefBased/>
  <w15:docId w15:val="{E67AC817-9D58-43EE-9E62-2DD46057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4BC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A12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2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21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21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21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21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21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21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21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1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1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121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121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121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12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12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12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12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1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12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12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12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12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12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12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1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12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121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74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74B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7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74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xifei wu</dc:creator>
  <cp:keywords/>
  <dc:description/>
  <cp:lastModifiedBy>May R</cp:lastModifiedBy>
  <cp:revision>2</cp:revision>
  <dcterms:created xsi:type="dcterms:W3CDTF">2026-08-25T14:42:00Z</dcterms:created>
  <dcterms:modified xsi:type="dcterms:W3CDTF">2026-08-25T14:42:00Z</dcterms:modified>
</cp:coreProperties>
</file>