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9" w:rsidRDefault="00717029" w:rsidP="00717029">
      <w:pPr>
        <w:adjustRightInd w:val="0"/>
        <w:snapToGrid w:val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17029" w:rsidRPr="003D0A0E" w:rsidRDefault="00717029" w:rsidP="00717029">
      <w:pPr>
        <w:adjustRightInd w:val="0"/>
        <w:snapToGrid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F0B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Suppl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2. 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Monocytic </w:t>
      </w:r>
      <w:r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ifferentiation of HL-60 </w:t>
      </w:r>
      <w:r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ells </w:t>
      </w:r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>nduced by ATRA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17029" w:rsidRPr="00EF0BD2" w:rsidRDefault="00717029" w:rsidP="00717029">
      <w:pPr>
        <w:adjustRightInd w:val="0"/>
        <w:snapToGrid w:val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F0BD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1779" cy="4851779"/>
            <wp:effectExtent l="0" t="0" r="6350" b="6350"/>
            <wp:docPr id="179878170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81703" name=""/>
                    <pic:cNvPicPr/>
                  </pic:nvPicPr>
                  <pic:blipFill>
                    <a:blip r:embed="rId4" cstate="print">
                      <a:extLs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035" cy="48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029" w:rsidRDefault="00717029" w:rsidP="00717029">
      <w:pPr>
        <w:adjustRightInd w:val="0"/>
        <w:snapToGrid w:val="0"/>
        <w:rPr>
          <w:rFonts w:ascii="Times New Roman" w:hAnsi="Times New Roman"/>
          <w:sz w:val="24"/>
          <w:szCs w:val="24"/>
          <w:lang w:val="en-GB"/>
        </w:rPr>
      </w:pP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Analysis of the monocytic maturation of HL60 leukemia cells following ATRA induction: (a) Representative histogram plots of CD14, CD64 and CD34 markers on day 5 (left panel), day 6 (middle panel) and day 7 (right panel) comparing the ATRA</w:t>
      </w:r>
      <w:r w:rsidRPr="00EF0BD2">
        <w:rPr>
          <w:rFonts w:ascii="Times New Roman" w:hAnsi="Times New Roman"/>
          <w:bCs/>
          <w:sz w:val="24"/>
          <w:szCs w:val="24"/>
        </w:rPr>
        <w:t>-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treated HL60 cells (</w:t>
      </w:r>
      <w:r w:rsidRPr="00EF0BD2">
        <w:rPr>
          <w:rFonts w:ascii="Times New Roman" w:hAnsi="Times New Roman"/>
          <w:bCs/>
          <w:sz w:val="24"/>
          <w:szCs w:val="24"/>
        </w:rPr>
        <w:t>gray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shading) </w:t>
      </w:r>
      <w:r w:rsidRPr="00EF0BD2">
        <w:rPr>
          <w:rFonts w:ascii="Times New Roman" w:hAnsi="Times New Roman"/>
          <w:bCs/>
          <w:sz w:val="24"/>
          <w:szCs w:val="24"/>
        </w:rPr>
        <w:t>with the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untreated controls (yellow shading)</w:t>
      </w:r>
      <w:r w:rsidRPr="00EF0BD2">
        <w:rPr>
          <w:rFonts w:ascii="Times New Roman" w:hAnsi="Times New Roman"/>
          <w:bCs/>
          <w:sz w:val="24"/>
          <w:szCs w:val="24"/>
        </w:rPr>
        <w:t>.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All negative controls (left panel) </w:t>
      </w:r>
      <w:r w:rsidRPr="00EF0BD2">
        <w:rPr>
          <w:rFonts w:ascii="Times New Roman" w:hAnsi="Times New Roman"/>
          <w:bCs/>
          <w:sz w:val="24"/>
          <w:szCs w:val="24"/>
        </w:rPr>
        <w:t>represent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an overlay histogram of </w:t>
      </w:r>
      <w:r w:rsidRPr="00EF0BD2">
        <w:rPr>
          <w:rFonts w:ascii="Times New Roman" w:hAnsi="Times New Roman"/>
          <w:bCs/>
          <w:sz w:val="24"/>
          <w:szCs w:val="24"/>
        </w:rPr>
        <w:t xml:space="preserve">the 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MFI of </w:t>
      </w:r>
      <w:r w:rsidRPr="00EF0BD2">
        <w:rPr>
          <w:rFonts w:ascii="Times New Roman" w:hAnsi="Times New Roman"/>
          <w:bCs/>
          <w:sz w:val="24"/>
          <w:szCs w:val="24"/>
        </w:rPr>
        <w:t xml:space="preserve">the 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HL60 control and ATRA</w:t>
      </w:r>
      <w:r w:rsidRPr="00EF0BD2">
        <w:rPr>
          <w:rFonts w:ascii="Times New Roman" w:hAnsi="Times New Roman"/>
          <w:bCs/>
          <w:sz w:val="24"/>
          <w:szCs w:val="24"/>
        </w:rPr>
        <w:t>-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treated </w:t>
      </w:r>
      <w:r w:rsidRPr="00EF0BD2">
        <w:rPr>
          <w:rFonts w:ascii="Times New Roman" w:hAnsi="Times New Roman"/>
          <w:bCs/>
          <w:sz w:val="24"/>
          <w:szCs w:val="24"/>
        </w:rPr>
        <w:t>cells with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no Ab control. (b) Mean </w:t>
      </w:r>
      <w:r w:rsidRPr="00EF0BD2">
        <w:rPr>
          <w:rFonts w:ascii="Times New Roman" w:hAnsi="Times New Roman"/>
          <w:bCs/>
          <w:sz w:val="24"/>
          <w:szCs w:val="24"/>
        </w:rPr>
        <w:t>fluorescence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intensity </w:t>
      </w:r>
      <w:r w:rsidRPr="00EF0BD2">
        <w:rPr>
          <w:rFonts w:ascii="Times New Roman" w:hAnsi="Times New Roman"/>
          <w:bCs/>
          <w:sz w:val="24"/>
          <w:szCs w:val="24"/>
        </w:rPr>
        <w:t>of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the same markers in ATRA</w:t>
      </w:r>
      <w:r w:rsidRPr="00EF0BD2">
        <w:rPr>
          <w:rFonts w:ascii="Times New Roman" w:hAnsi="Times New Roman"/>
          <w:bCs/>
          <w:sz w:val="24"/>
          <w:szCs w:val="24"/>
        </w:rPr>
        <w:t>-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treated HL60 </w:t>
      </w:r>
      <w:r w:rsidRPr="00EF0BD2">
        <w:rPr>
          <w:rFonts w:ascii="Times New Roman" w:hAnsi="Times New Roman"/>
          <w:bCs/>
          <w:sz w:val="24"/>
          <w:szCs w:val="24"/>
        </w:rPr>
        <w:t xml:space="preserve">cells 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for 5 days, 6 days or 7 days (</w:t>
      </w:r>
      <w:r w:rsidRPr="00EF0BD2">
        <w:rPr>
          <w:rFonts w:ascii="Times New Roman" w:hAnsi="Times New Roman"/>
          <w:bCs/>
          <w:sz w:val="24"/>
          <w:szCs w:val="24"/>
        </w:rPr>
        <w:t>gray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bar) or control HL60 </w:t>
      </w:r>
      <w:r w:rsidRPr="00EF0BD2">
        <w:rPr>
          <w:rFonts w:ascii="Times New Roman" w:hAnsi="Times New Roman"/>
          <w:bCs/>
          <w:sz w:val="24"/>
          <w:szCs w:val="24"/>
        </w:rPr>
        <w:t xml:space="preserve">cells 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(yellow bar)</w:t>
      </w:r>
      <w:r w:rsidRPr="00EF0BD2">
        <w:rPr>
          <w:rFonts w:ascii="Times New Roman" w:hAnsi="Times New Roman"/>
          <w:bCs/>
          <w:sz w:val="24"/>
          <w:szCs w:val="24"/>
        </w:rPr>
        <w:t>,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 = 3</w:t>
      </w:r>
      <w:r w:rsidRPr="00EF0BD2">
        <w:rPr>
          <w:rFonts w:ascii="Times New Roman" w:hAnsi="Times New Roman"/>
          <w:bCs/>
          <w:sz w:val="24"/>
          <w:szCs w:val="24"/>
        </w:rPr>
        <w:t>;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error bars =SEM; *</w:t>
      </w:r>
      <w:r w:rsidRPr="00EF0BD2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p</w:t>
      </w:r>
      <w:r w:rsidRPr="00EF0BD2">
        <w:rPr>
          <w:rFonts w:ascii="Times New Roman" w:hAnsi="Times New Roman" w:hint="eastAsia"/>
          <w:bCs/>
          <w:sz w:val="24"/>
          <w:szCs w:val="24"/>
          <w:shd w:val="clear" w:color="auto" w:fill="FFFFFF"/>
        </w:rPr>
        <w:t>≤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0.05, **</w:t>
      </w:r>
      <w:r w:rsidRPr="00EF0BD2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p</w:t>
      </w:r>
      <w:r w:rsidRPr="00EF0BD2">
        <w:rPr>
          <w:rFonts w:ascii="Times New Roman" w:hAnsi="Times New Roman" w:hint="eastAsia"/>
          <w:bCs/>
          <w:sz w:val="24"/>
          <w:szCs w:val="24"/>
          <w:shd w:val="clear" w:color="auto" w:fill="FFFFFF"/>
        </w:rPr>
        <w:t>≤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>0.005, ***</w:t>
      </w:r>
      <w:r w:rsidRPr="00EF0BD2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p</w:t>
      </w:r>
      <w:r w:rsidRPr="00EF0BD2">
        <w:rPr>
          <w:rFonts w:ascii="Times New Roman" w:hAnsi="Times New Roman" w:hint="eastAsia"/>
          <w:bCs/>
          <w:sz w:val="24"/>
          <w:szCs w:val="24"/>
          <w:shd w:val="clear" w:color="auto" w:fill="FFFFFF"/>
        </w:rPr>
        <w:t>≤</w:t>
      </w:r>
      <w:r w:rsidRPr="00EF0B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0.0005. </w:t>
      </w:r>
      <w:r w:rsidRPr="00EF0BD2">
        <w:rPr>
          <w:rFonts w:ascii="Times New Roman" w:hAnsi="Times New Roman"/>
          <w:sz w:val="24"/>
          <w:szCs w:val="24"/>
          <w:lang w:val="en-GB"/>
        </w:rPr>
        <w:t>Abbreviations: ATRA, all-trans retinoic acid; SEM, standard error of mean.</w:t>
      </w:r>
    </w:p>
    <w:p w:rsidR="00717029" w:rsidRDefault="00717029" w:rsidP="00717029">
      <w:pPr>
        <w:adjustRightInd w:val="0"/>
        <w:snapToGrid w:val="0"/>
        <w:rPr>
          <w:rFonts w:ascii="Times New Roman" w:hAnsi="Times New Roman"/>
          <w:sz w:val="24"/>
          <w:szCs w:val="24"/>
          <w:lang w:val="en-GB"/>
        </w:rPr>
      </w:pPr>
    </w:p>
    <w:p w:rsidR="00A41959" w:rsidRPr="00717029" w:rsidRDefault="00A41959">
      <w:pPr>
        <w:rPr>
          <w:lang w:val="en-GB"/>
        </w:rPr>
      </w:pPr>
    </w:p>
    <w:sectPr w:rsidR="00A41959" w:rsidRPr="007170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717029"/>
    <w:rsid w:val="00717029"/>
    <w:rsid w:val="00A4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2025-10-05T11:48:00Z</dcterms:created>
  <dcterms:modified xsi:type="dcterms:W3CDTF">2025-10-05T11:48:00Z</dcterms:modified>
</cp:coreProperties>
</file>