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4C16" w14:textId="77777777" w:rsidR="00F82EFE" w:rsidRDefault="00F82EFE" w:rsidP="00526392">
      <w:pPr>
        <w:spacing w:line="360" w:lineRule="auto"/>
        <w:jc w:val="left"/>
        <w:rPr>
          <w:rFonts w:ascii="Book Antiqua" w:eastAsia="宋体" w:hAnsi="Book Antiqua" w:cs="Book Antiqua"/>
          <w:sz w:val="24"/>
          <w:szCs w:val="24"/>
          <w:highlight w:val="yellow"/>
          <w:lang w:val="en-GB"/>
        </w:rPr>
      </w:pPr>
      <w:r>
        <w:rPr>
          <w:rFonts w:ascii="Book Antiqua" w:hAnsi="Book Antiqua" w:cs="Book Antiqua"/>
          <w:noProof/>
          <w:sz w:val="24"/>
          <w:szCs w:val="24"/>
          <w:lang w:val="en-GB"/>
        </w:rPr>
        <w:drawing>
          <wp:inline distT="0" distB="0" distL="0" distR="0" wp14:anchorId="7A17BFB4" wp14:editId="7520FFD6">
            <wp:extent cx="5262733" cy="2197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201" cy="220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C8E1" w14:textId="4BEF2772" w:rsidR="00F82EFE" w:rsidRDefault="00F82EFE" w:rsidP="00F82EFE">
      <w:pPr>
        <w:spacing w:line="360" w:lineRule="auto"/>
        <w:rPr>
          <w:rFonts w:ascii="Book Antiqua" w:eastAsia="宋体" w:hAnsi="Book Antiqua" w:cs="Book Antiqua"/>
          <w:sz w:val="24"/>
          <w:szCs w:val="24"/>
          <w:lang w:val="en-GB"/>
        </w:rPr>
      </w:pPr>
      <w:proofErr w:type="spellStart"/>
      <w:r>
        <w:rPr>
          <w:rFonts w:ascii="Book Antiqua" w:eastAsia="黑体" w:hAnsi="Book Antiqua" w:cs="Book Antiqua"/>
          <w:b/>
          <w:bCs/>
          <w:sz w:val="24"/>
          <w:szCs w:val="24"/>
          <w:lang w:val="en-GB"/>
        </w:rPr>
        <w:t>Suppl</w:t>
      </w:r>
      <w:proofErr w:type="spellEnd"/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1</w:t>
      </w:r>
      <w:r>
        <w:rPr>
          <w:rFonts w:ascii="Book Antiqua" w:eastAsia="宋体" w:hAnsi="Book Antiqua" w:cs="Book Antiqua" w:hint="eastAsia"/>
          <w:b/>
          <w:bCs/>
          <w:sz w:val="24"/>
          <w:szCs w:val="24"/>
          <w:lang w:val="en-GB"/>
        </w:rPr>
        <w:t>.</w:t>
      </w:r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Expression of </w:t>
      </w:r>
      <w:r>
        <w:rPr>
          <w:rFonts w:ascii="Book Antiqua" w:eastAsia="宋体" w:hAnsi="Book Antiqua" w:cs="Book Antiqua"/>
          <w:i/>
          <w:iCs/>
          <w:sz w:val="24"/>
          <w:szCs w:val="24"/>
          <w:lang w:val="en-GB"/>
        </w:rPr>
        <w:t>ACTR10</w:t>
      </w:r>
      <w:r>
        <w:rPr>
          <w:rFonts w:ascii="Book Antiqua" w:eastAsia="宋体" w:hAnsi="Book Antiqua" w:cs="Book Antiqua"/>
          <w:sz w:val="24"/>
          <w:szCs w:val="24"/>
          <w:lang w:val="en-GB"/>
        </w:rPr>
        <w:t xml:space="preserve"> in HCC samples.</w:t>
      </w:r>
      <w:r>
        <w:rPr>
          <w:rFonts w:ascii="Book Antiqua" w:eastAsia="宋体" w:hAnsi="Book Antiqua" w:cs="Book Antiqua"/>
          <w:b/>
          <w:bCs/>
          <w:sz w:val="24"/>
          <w:szCs w:val="24"/>
          <w:lang w:val="en-GB"/>
        </w:rPr>
        <w:t xml:space="preserve"> </w:t>
      </w:r>
      <w:r>
        <w:rPr>
          <w:rFonts w:ascii="Book Antiqua" w:eastAsia="宋体" w:hAnsi="Book Antiqua" w:cs="Book Antiqua"/>
          <w:sz w:val="24"/>
          <w:szCs w:val="24"/>
          <w:lang w:val="en-GB"/>
        </w:rPr>
        <w:t>A statistically significant</w:t>
      </w:r>
      <w:r>
        <w:rPr>
          <w:rFonts w:ascii="Book Antiqua" w:hAnsi="Book Antiqua" w:cs="Book Antiqua"/>
          <w:sz w:val="24"/>
          <w:szCs w:val="24"/>
          <w:lang w:val="en-GB"/>
        </w:rPr>
        <w:t xml:space="preserve"> trend of high expression of </w:t>
      </w:r>
      <w:r>
        <w:rPr>
          <w:rFonts w:ascii="Book Antiqua" w:hAnsi="Book Antiqua" w:cs="Book Antiqua"/>
          <w:i/>
          <w:iCs/>
          <w:sz w:val="24"/>
          <w:szCs w:val="24"/>
          <w:lang w:val="en-GB"/>
        </w:rPr>
        <w:t>ACTR10</w:t>
      </w:r>
      <w:r>
        <w:rPr>
          <w:rFonts w:ascii="Book Antiqua" w:hAnsi="Book Antiqua" w:cs="Book Antiqua"/>
          <w:sz w:val="24"/>
          <w:szCs w:val="24"/>
          <w:lang w:val="en-GB"/>
        </w:rPr>
        <w:t xml:space="preserve"> was observed in the presented 19 datasets. The red violin plots show the HCC samples and the blue violin plots show the non-HCC samples.</w:t>
      </w:r>
    </w:p>
    <w:p w14:paraId="3B8F0DF8" w14:textId="77777777" w:rsidR="00F82EFE" w:rsidRDefault="00F82EFE" w:rsidP="00F82EFE">
      <w:pPr>
        <w:spacing w:line="480" w:lineRule="auto"/>
        <w:rPr>
          <w:rFonts w:ascii="Book Antiqua" w:eastAsia="Book Antiqua" w:hAnsi="Book Antiqua" w:cs="Book Antiqua"/>
          <w:b/>
          <w:bCs/>
          <w:color w:val="000000"/>
          <w:kern w:val="0"/>
          <w:sz w:val="24"/>
          <w:szCs w:val="24"/>
          <w:lang w:bidi="ar"/>
        </w:rPr>
      </w:pPr>
    </w:p>
    <w:p w14:paraId="027EC4B7" w14:textId="77777777" w:rsidR="00F82EFE" w:rsidRPr="00F82EFE" w:rsidRDefault="00F82EFE">
      <w:pPr>
        <w:rPr>
          <w:rFonts w:hint="eastAsia"/>
        </w:rPr>
      </w:pPr>
    </w:p>
    <w:sectPr w:rsidR="00F82EFE" w:rsidRPr="00F82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782ED" w14:textId="77777777" w:rsidR="00A150EB" w:rsidRDefault="00A150EB" w:rsidP="00526392">
      <w:pPr>
        <w:rPr>
          <w:rFonts w:hint="eastAsia"/>
        </w:rPr>
      </w:pPr>
      <w:r>
        <w:separator/>
      </w:r>
    </w:p>
  </w:endnote>
  <w:endnote w:type="continuationSeparator" w:id="0">
    <w:p w14:paraId="1057912F" w14:textId="77777777" w:rsidR="00A150EB" w:rsidRDefault="00A150EB" w:rsidP="005263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F02B" w14:textId="77777777" w:rsidR="00A150EB" w:rsidRDefault="00A150EB" w:rsidP="00526392">
      <w:pPr>
        <w:rPr>
          <w:rFonts w:hint="eastAsia"/>
        </w:rPr>
      </w:pPr>
      <w:r>
        <w:separator/>
      </w:r>
    </w:p>
  </w:footnote>
  <w:footnote w:type="continuationSeparator" w:id="0">
    <w:p w14:paraId="1585042A" w14:textId="77777777" w:rsidR="00A150EB" w:rsidRDefault="00A150EB" w:rsidP="005263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FE"/>
    <w:rsid w:val="00526392"/>
    <w:rsid w:val="00A150EB"/>
    <w:rsid w:val="00CE1E21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7E5C9"/>
  <w15:chartTrackingRefBased/>
  <w15:docId w15:val="{063D5366-3BDA-4F70-BC5C-148C050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82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3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2</cp:revision>
  <dcterms:created xsi:type="dcterms:W3CDTF">2024-11-27T05:41:00Z</dcterms:created>
  <dcterms:modified xsi:type="dcterms:W3CDTF">2024-11-27T05:46:00Z</dcterms:modified>
</cp:coreProperties>
</file>